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5.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6.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7.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8.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6.xml" ContentType="application/vnd.openxmlformats-officedocument.drawingml.chart+xml"/>
  <Override PartName="/word/charts/chart17.xml" ContentType="application/vnd.openxmlformats-officedocument.drawingml.chart+xml"/>
  <Override PartName="/word/charts/style8.xml" ContentType="application/vnd.ms-office.chartstyle+xml"/>
  <Override PartName="/word/charts/colors8.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E1116B" w14:textId="77777777" w:rsidR="007F2637" w:rsidRDefault="007F2637" w:rsidP="007F2637">
      <w:pPr>
        <w:tabs>
          <w:tab w:val="left" w:pos="5180"/>
        </w:tabs>
        <w:spacing w:line="360" w:lineRule="auto"/>
        <w:rPr>
          <w:rFonts w:ascii="Arial" w:eastAsia="Times New Roman" w:hAnsi="Arial" w:cs="Arial"/>
          <w:color w:val="000000"/>
          <w:sz w:val="24"/>
          <w:szCs w:val="24"/>
          <w:lang w:bidi="en-US"/>
        </w:rPr>
      </w:pPr>
      <w:bookmarkStart w:id="0" w:name="_GoBack"/>
      <w:bookmarkEnd w:id="0"/>
    </w:p>
    <w:p w14:paraId="78663519" w14:textId="77777777" w:rsidR="007F2637" w:rsidRDefault="007F2637" w:rsidP="007F2637">
      <w:pPr>
        <w:spacing w:line="360" w:lineRule="auto"/>
        <w:jc w:val="center"/>
        <w:rPr>
          <w:rFonts w:ascii="Arial" w:eastAsia="Times New Roman" w:hAnsi="Arial" w:cs="Arial"/>
          <w:color w:val="000000"/>
          <w:sz w:val="24"/>
          <w:szCs w:val="24"/>
          <w:lang w:bidi="en-US"/>
        </w:rPr>
      </w:pPr>
    </w:p>
    <w:p w14:paraId="040FEA69" w14:textId="77777777" w:rsidR="007F2637" w:rsidRDefault="007F2637" w:rsidP="007F2637">
      <w:pPr>
        <w:spacing w:line="360" w:lineRule="auto"/>
        <w:jc w:val="center"/>
        <w:rPr>
          <w:rFonts w:ascii="Arial" w:eastAsia="Times New Roman" w:hAnsi="Arial" w:cs="Arial"/>
          <w:color w:val="000000"/>
          <w:sz w:val="24"/>
          <w:szCs w:val="24"/>
          <w:lang w:bidi="en-US"/>
        </w:rPr>
      </w:pPr>
    </w:p>
    <w:p w14:paraId="71A06807" w14:textId="0040C5B4" w:rsidR="007F2637" w:rsidRPr="00ED0600" w:rsidRDefault="002A00F2" w:rsidP="007F2637">
      <w:pPr>
        <w:spacing w:line="360" w:lineRule="auto"/>
        <w:jc w:val="center"/>
        <w:rPr>
          <w:rFonts w:ascii="Arial" w:eastAsia="Times New Roman" w:hAnsi="Arial" w:cs="Arial"/>
          <w:color w:val="000000"/>
          <w:sz w:val="24"/>
          <w:szCs w:val="24"/>
          <w:lang w:bidi="en-US"/>
        </w:rPr>
      </w:pPr>
      <w:r>
        <w:rPr>
          <w:noProof/>
          <w:lang w:eastAsia="es-MX"/>
        </w:rPr>
        <w:drawing>
          <wp:anchor distT="0" distB="0" distL="114300" distR="114300" simplePos="0" relativeHeight="251661312" behindDoc="1" locked="0" layoutInCell="1" allowOverlap="1" wp14:anchorId="4FED3F11" wp14:editId="5B993D40">
            <wp:simplePos x="0" y="0"/>
            <wp:positionH relativeFrom="margin">
              <wp:posOffset>0</wp:posOffset>
            </wp:positionH>
            <wp:positionV relativeFrom="paragraph">
              <wp:posOffset>361950</wp:posOffset>
            </wp:positionV>
            <wp:extent cx="5603240" cy="1866900"/>
            <wp:effectExtent l="0" t="0" r="0" b="0"/>
            <wp:wrapSquare wrapText="bothSides"/>
            <wp:docPr id="78" name="Imagen 78" descr="http://www.lasalle.mx/wp-content/uploads/2014/09/Imagotipo_La_Salle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salle.mx/wp-content/uploads/2014/09/Imagotipo_La_Salle_col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0862" t="24266" r="14924" b="18002"/>
                    <a:stretch/>
                  </pic:blipFill>
                  <pic:spPr bwMode="auto">
                    <a:xfrm>
                      <a:off x="0" y="0"/>
                      <a:ext cx="560324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1C33DC" w14:textId="77777777" w:rsidR="007F2637" w:rsidRDefault="007F2637" w:rsidP="007F2637">
      <w:pPr>
        <w:spacing w:line="360" w:lineRule="auto"/>
        <w:jc w:val="center"/>
        <w:rPr>
          <w:rFonts w:ascii="Arial" w:eastAsia="Times New Roman" w:hAnsi="Arial" w:cs="Arial"/>
          <w:b/>
          <w:color w:val="000000"/>
          <w:sz w:val="40"/>
          <w:szCs w:val="52"/>
          <w:lang w:bidi="en-US"/>
        </w:rPr>
      </w:pPr>
    </w:p>
    <w:p w14:paraId="5AFE517E" w14:textId="77777777" w:rsidR="007F2637" w:rsidRDefault="007F2637" w:rsidP="007F2637">
      <w:pPr>
        <w:spacing w:line="360" w:lineRule="auto"/>
        <w:jc w:val="center"/>
        <w:rPr>
          <w:rFonts w:ascii="Arial" w:eastAsia="Times New Roman" w:hAnsi="Arial" w:cs="Arial"/>
          <w:b/>
          <w:color w:val="000000"/>
          <w:sz w:val="40"/>
          <w:szCs w:val="52"/>
          <w:lang w:bidi="en-US"/>
        </w:rPr>
      </w:pPr>
    </w:p>
    <w:p w14:paraId="69892F0E" w14:textId="77777777" w:rsidR="007F2637" w:rsidRPr="00ED0600" w:rsidRDefault="007F2637" w:rsidP="007F2637">
      <w:pPr>
        <w:spacing w:line="360" w:lineRule="auto"/>
        <w:jc w:val="center"/>
        <w:rPr>
          <w:rFonts w:ascii="Arial" w:eastAsia="Times New Roman" w:hAnsi="Arial" w:cs="Arial"/>
          <w:b/>
          <w:color w:val="000000"/>
          <w:sz w:val="36"/>
          <w:szCs w:val="28"/>
          <w:lang w:bidi="en-US"/>
        </w:rPr>
      </w:pPr>
      <w:r>
        <w:rPr>
          <w:rFonts w:ascii="Arial" w:eastAsia="Times New Roman" w:hAnsi="Arial" w:cs="Arial"/>
          <w:b/>
          <w:color w:val="000000"/>
          <w:sz w:val="40"/>
          <w:szCs w:val="52"/>
          <w:lang w:bidi="en-US"/>
        </w:rPr>
        <w:t xml:space="preserve">ESPECIALIDAD EN </w:t>
      </w:r>
      <w:r w:rsidR="0005744D">
        <w:rPr>
          <w:rFonts w:ascii="Arial" w:eastAsia="Times New Roman" w:hAnsi="Arial" w:cs="Arial"/>
          <w:b/>
          <w:color w:val="000000"/>
          <w:sz w:val="40"/>
          <w:szCs w:val="52"/>
          <w:lang w:bidi="en-US"/>
        </w:rPr>
        <w:t>ANESTESIOLOGÍA</w:t>
      </w:r>
    </w:p>
    <w:p w14:paraId="4EDF1596" w14:textId="77777777" w:rsidR="007F2637" w:rsidRPr="00ED0600" w:rsidRDefault="007F2637" w:rsidP="007F2637">
      <w:pPr>
        <w:spacing w:line="360" w:lineRule="auto"/>
        <w:jc w:val="center"/>
        <w:rPr>
          <w:rFonts w:ascii="Arial" w:eastAsia="Times New Roman" w:hAnsi="Arial" w:cs="Arial"/>
          <w:b/>
          <w:color w:val="000000"/>
          <w:sz w:val="36"/>
          <w:szCs w:val="28"/>
          <w:lang w:bidi="en-US"/>
        </w:rPr>
      </w:pPr>
    </w:p>
    <w:p w14:paraId="5F4BEBBD" w14:textId="77777777" w:rsidR="007F2637" w:rsidRPr="00ED0600" w:rsidRDefault="007F2637" w:rsidP="007F2637">
      <w:pPr>
        <w:spacing w:line="360" w:lineRule="auto"/>
        <w:jc w:val="center"/>
        <w:rPr>
          <w:rFonts w:ascii="Arial" w:eastAsia="Times New Roman" w:hAnsi="Arial" w:cs="Arial"/>
          <w:b/>
          <w:color w:val="000000"/>
          <w:sz w:val="36"/>
          <w:szCs w:val="28"/>
          <w:lang w:bidi="en-US"/>
        </w:rPr>
      </w:pPr>
      <w:r w:rsidRPr="00ED0600">
        <w:rPr>
          <w:rFonts w:ascii="Arial" w:eastAsia="Times New Roman" w:hAnsi="Arial" w:cs="Arial"/>
          <w:b/>
          <w:color w:val="000000"/>
          <w:sz w:val="36"/>
          <w:szCs w:val="28"/>
          <w:lang w:bidi="en-US"/>
        </w:rPr>
        <w:t>FUNDAMENTACIÓN SOCIOACADÉMICA</w:t>
      </w:r>
    </w:p>
    <w:p w14:paraId="7E9FA01A" w14:textId="77777777" w:rsidR="007F2637" w:rsidRPr="00ED0600" w:rsidRDefault="007F2637" w:rsidP="007F2637">
      <w:pPr>
        <w:jc w:val="center"/>
        <w:rPr>
          <w:rFonts w:ascii="Arial" w:eastAsia="Times New Roman" w:hAnsi="Arial" w:cs="Arial"/>
          <w:b/>
          <w:color w:val="000000"/>
          <w:sz w:val="28"/>
          <w:szCs w:val="28"/>
          <w:lang w:bidi="en-US"/>
        </w:rPr>
      </w:pPr>
    </w:p>
    <w:p w14:paraId="4CCDFB9B" w14:textId="77777777" w:rsidR="007F2637" w:rsidRPr="00ED0600" w:rsidRDefault="007F2637" w:rsidP="007F2637">
      <w:pPr>
        <w:jc w:val="center"/>
        <w:rPr>
          <w:rFonts w:ascii="Arial" w:eastAsia="Times New Roman" w:hAnsi="Arial" w:cs="Arial"/>
          <w:b/>
          <w:color w:val="000000"/>
          <w:sz w:val="28"/>
          <w:szCs w:val="28"/>
          <w:lang w:bidi="en-US"/>
        </w:rPr>
      </w:pPr>
    </w:p>
    <w:p w14:paraId="153A5462" w14:textId="77777777" w:rsidR="007F2637" w:rsidRPr="00ED0600" w:rsidRDefault="007F2637" w:rsidP="007F2637">
      <w:pPr>
        <w:jc w:val="center"/>
        <w:rPr>
          <w:rFonts w:ascii="Arial" w:eastAsia="Times New Roman" w:hAnsi="Arial" w:cs="Arial"/>
          <w:b/>
          <w:color w:val="000000"/>
          <w:sz w:val="28"/>
          <w:szCs w:val="28"/>
          <w:lang w:bidi="en-US"/>
        </w:rPr>
      </w:pPr>
    </w:p>
    <w:p w14:paraId="79C3FCBA" w14:textId="77777777" w:rsidR="007F2637" w:rsidRPr="00ED0600" w:rsidRDefault="007F2637" w:rsidP="007F2637">
      <w:pPr>
        <w:jc w:val="center"/>
        <w:rPr>
          <w:rFonts w:ascii="Arial" w:eastAsia="Times New Roman" w:hAnsi="Arial" w:cs="Arial"/>
          <w:b/>
          <w:color w:val="000000"/>
          <w:sz w:val="28"/>
          <w:szCs w:val="28"/>
          <w:lang w:bidi="en-US"/>
        </w:rPr>
      </w:pPr>
    </w:p>
    <w:p w14:paraId="622DC989" w14:textId="77777777" w:rsidR="007F2637" w:rsidRPr="00ED0600" w:rsidRDefault="007F2637" w:rsidP="007F2637">
      <w:pPr>
        <w:jc w:val="center"/>
        <w:rPr>
          <w:rFonts w:ascii="Arial" w:eastAsia="Times New Roman" w:hAnsi="Arial" w:cs="Arial"/>
          <w:b/>
          <w:color w:val="000000"/>
          <w:sz w:val="28"/>
          <w:szCs w:val="28"/>
          <w:lang w:bidi="en-US"/>
        </w:rPr>
      </w:pPr>
    </w:p>
    <w:p w14:paraId="11996D6E" w14:textId="3E63F43A" w:rsidR="007F2637" w:rsidRPr="00ED0600" w:rsidRDefault="00C87899" w:rsidP="007F2637">
      <w:pPr>
        <w:jc w:val="right"/>
        <w:rPr>
          <w:rFonts w:ascii="Arial" w:eastAsia="Times New Roman" w:hAnsi="Arial" w:cs="Arial"/>
          <w:b/>
          <w:color w:val="000000"/>
          <w:sz w:val="28"/>
          <w:szCs w:val="28"/>
          <w:lang w:bidi="en-US"/>
        </w:rPr>
      </w:pPr>
      <w:r>
        <w:rPr>
          <w:rFonts w:ascii="Arial" w:eastAsia="Times New Roman" w:hAnsi="Arial" w:cs="Arial"/>
          <w:b/>
          <w:color w:val="000000"/>
          <w:sz w:val="28"/>
          <w:szCs w:val="28"/>
          <w:lang w:bidi="en-US"/>
        </w:rPr>
        <w:t>Jul</w:t>
      </w:r>
      <w:r w:rsidR="002A00F2">
        <w:rPr>
          <w:rFonts w:ascii="Arial" w:eastAsia="Times New Roman" w:hAnsi="Arial" w:cs="Arial"/>
          <w:b/>
          <w:color w:val="000000"/>
          <w:sz w:val="28"/>
          <w:szCs w:val="28"/>
          <w:lang w:bidi="en-US"/>
        </w:rPr>
        <w:t>i</w:t>
      </w:r>
      <w:r w:rsidR="007F2637">
        <w:rPr>
          <w:rFonts w:ascii="Arial" w:eastAsia="Times New Roman" w:hAnsi="Arial" w:cs="Arial"/>
          <w:b/>
          <w:color w:val="000000"/>
          <w:sz w:val="28"/>
          <w:szCs w:val="28"/>
          <w:lang w:bidi="en-US"/>
        </w:rPr>
        <w:t>o</w:t>
      </w:r>
      <w:r w:rsidR="007F2637" w:rsidRPr="00ED0600">
        <w:rPr>
          <w:rFonts w:ascii="Arial" w:eastAsia="Times New Roman" w:hAnsi="Arial" w:cs="Arial"/>
          <w:b/>
          <w:color w:val="000000"/>
          <w:sz w:val="28"/>
          <w:szCs w:val="28"/>
          <w:lang w:bidi="en-US"/>
        </w:rPr>
        <w:t xml:space="preserve"> 201</w:t>
      </w:r>
      <w:r w:rsidR="007F2637">
        <w:rPr>
          <w:rFonts w:ascii="Arial" w:eastAsia="Times New Roman" w:hAnsi="Arial" w:cs="Arial"/>
          <w:b/>
          <w:color w:val="000000"/>
          <w:sz w:val="28"/>
          <w:szCs w:val="28"/>
          <w:lang w:bidi="en-US"/>
        </w:rPr>
        <w:t>9</w:t>
      </w:r>
    </w:p>
    <w:p w14:paraId="4607D493" w14:textId="77777777" w:rsidR="007F2637" w:rsidRDefault="007F2637" w:rsidP="007F2637">
      <w:pPr>
        <w:spacing w:line="360" w:lineRule="auto"/>
        <w:rPr>
          <w:rFonts w:ascii="Arial" w:hAnsi="Arial" w:cs="Arial"/>
          <w:b/>
        </w:rPr>
      </w:pPr>
    </w:p>
    <w:p w14:paraId="3933C383" w14:textId="77777777" w:rsidR="002A00F2" w:rsidRPr="009D1687" w:rsidRDefault="002A00F2" w:rsidP="002A00F2">
      <w:pPr>
        <w:spacing w:after="0" w:line="360" w:lineRule="auto"/>
        <w:rPr>
          <w:rFonts w:ascii="Arial" w:hAnsi="Arial" w:cs="Arial"/>
          <w:b/>
        </w:rPr>
      </w:pPr>
      <w:r w:rsidRPr="009D1687">
        <w:rPr>
          <w:rFonts w:ascii="Arial" w:hAnsi="Arial" w:cs="Arial"/>
          <w:b/>
        </w:rPr>
        <w:lastRenderedPageBreak/>
        <w:t>INTRODUCCIÓN</w:t>
      </w:r>
    </w:p>
    <w:p w14:paraId="11E0422C" w14:textId="77777777" w:rsidR="002A00F2" w:rsidRDefault="002A00F2" w:rsidP="002A00F2">
      <w:pPr>
        <w:spacing w:line="360" w:lineRule="auto"/>
        <w:jc w:val="both"/>
        <w:rPr>
          <w:rFonts w:ascii="Arial" w:hAnsi="Arial" w:cs="Arial"/>
        </w:rPr>
      </w:pPr>
    </w:p>
    <w:p w14:paraId="635753B2" w14:textId="77777777" w:rsidR="002A00F2" w:rsidRDefault="002A00F2" w:rsidP="002A00F2">
      <w:pPr>
        <w:spacing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14:paraId="2832B8F8" w14:textId="77777777" w:rsidR="002A00F2" w:rsidRDefault="002A00F2" w:rsidP="002A00F2">
      <w:pPr>
        <w:spacing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14:paraId="3CEECBC0" w14:textId="77777777" w:rsidR="002A00F2" w:rsidRDefault="002A00F2" w:rsidP="002A00F2">
      <w:pPr>
        <w:spacing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w:t>
      </w:r>
    </w:p>
    <w:p w14:paraId="300B4D6F" w14:textId="77777777" w:rsidR="002A00F2" w:rsidRDefault="002A00F2" w:rsidP="002A00F2">
      <w:pPr>
        <w:spacing w:line="360" w:lineRule="auto"/>
        <w:jc w:val="both"/>
        <w:rPr>
          <w:rFonts w:ascii="Arial" w:hAnsi="Arial" w:cs="Arial"/>
        </w:rPr>
      </w:pPr>
      <w:r>
        <w:rPr>
          <w:rFonts w:ascii="Arial" w:hAnsi="Arial" w:cs="Arial"/>
        </w:rPr>
        <w:lastRenderedPageBreak/>
        <w:t xml:space="preserve">Por lo tanto, el objetivo del presente documento es desarrollar las perspectivas de cambio en los perfiles demográficos y epidemiológicos, los patrones de oferta y demanda en la provisión de los servicios asociados a las especialidades médicas impartidas en la Universidad La Salle, particularmente lo referente a la Especialidad en Anestesiología. </w:t>
      </w:r>
    </w:p>
    <w:p w14:paraId="3CA65625" w14:textId="1FC34C5D" w:rsidR="002A00F2" w:rsidRDefault="002A00F2" w:rsidP="002A00F2">
      <w:pPr>
        <w:spacing w:line="360" w:lineRule="auto"/>
        <w:jc w:val="both"/>
        <w:rPr>
          <w:rFonts w:ascii="Arial" w:hAnsi="Arial" w:cs="Arial"/>
        </w:rPr>
      </w:pPr>
      <w:r>
        <w:rPr>
          <w:rFonts w:ascii="Arial" w:hAnsi="Arial" w:cs="Arial"/>
        </w:rPr>
        <w:t>Los siguientes apartados dan cuenta primero, de la organización y enfoque pedagógico de la Facultad de Medicina de la Universidad La Salle, posteriormente se exploran las estructuras demográficas de México, haciendo énfasis en su composición etaria y distribución, así como evolución futura; desde la transición epidemiológica, se analiza la estructura de morbilidad y mortalidad, resaltando aquellos padecimientos asociados a los grupos poblacionales en los que las diferentes especialidades médicas en general y se hace un acercamiento a la p</w:t>
      </w:r>
      <w:r w:rsidRPr="00F26F63">
        <w:rPr>
          <w:rFonts w:ascii="Arial" w:hAnsi="Arial" w:cs="Arial"/>
        </w:rPr>
        <w:t>rovisión global de espec</w:t>
      </w:r>
      <w:r>
        <w:rPr>
          <w:rFonts w:ascii="Arial" w:hAnsi="Arial" w:cs="Arial"/>
        </w:rPr>
        <w:t xml:space="preserve">ialistas en anestesiología, se aborda </w:t>
      </w:r>
      <w:r w:rsidR="000F5270">
        <w:rPr>
          <w:rFonts w:ascii="Arial" w:hAnsi="Arial" w:cs="Arial"/>
        </w:rPr>
        <w:t>el marco normativo, la demanda y oferta, así como</w:t>
      </w:r>
      <w:r>
        <w:rPr>
          <w:rFonts w:ascii="Arial" w:hAnsi="Arial" w:cs="Arial"/>
        </w:rPr>
        <w:t xml:space="preserve"> el mercado de trabajo a través de una aproximación de estadísticas oficiales, tal y como lo es la Encuesta Nacional de Ocupación y Empleo.</w:t>
      </w:r>
    </w:p>
    <w:p w14:paraId="3572ED69" w14:textId="77777777" w:rsidR="007F2637" w:rsidRDefault="007F2637" w:rsidP="007F2637">
      <w:pPr>
        <w:spacing w:line="360" w:lineRule="auto"/>
        <w:rPr>
          <w:rFonts w:ascii="Arial" w:hAnsi="Arial" w:cs="Arial"/>
          <w:b/>
        </w:rPr>
      </w:pPr>
    </w:p>
    <w:p w14:paraId="150A9F1A" w14:textId="77777777" w:rsidR="007F2637" w:rsidRDefault="007F2637" w:rsidP="007F2637">
      <w:pPr>
        <w:spacing w:line="360" w:lineRule="auto"/>
        <w:rPr>
          <w:rFonts w:ascii="Arial" w:hAnsi="Arial" w:cs="Arial"/>
          <w:b/>
        </w:rPr>
      </w:pPr>
    </w:p>
    <w:p w14:paraId="538666A3" w14:textId="77777777" w:rsidR="007F2637" w:rsidRDefault="007F2637" w:rsidP="007F2637">
      <w:pPr>
        <w:spacing w:line="360" w:lineRule="auto"/>
        <w:rPr>
          <w:rFonts w:ascii="Arial" w:hAnsi="Arial" w:cs="Arial"/>
          <w:b/>
        </w:rPr>
        <w:sectPr w:rsidR="007F2637" w:rsidSect="00CA61C8">
          <w:headerReference w:type="default" r:id="rId9"/>
          <w:footerReference w:type="default" r:id="rId10"/>
          <w:pgSz w:w="12240" w:h="15840"/>
          <w:pgMar w:top="1417" w:right="1701" w:bottom="1417" w:left="1701" w:header="708" w:footer="708" w:gutter="0"/>
          <w:cols w:space="708"/>
          <w:titlePg/>
          <w:docGrid w:linePitch="360"/>
        </w:sectPr>
      </w:pPr>
    </w:p>
    <w:p w14:paraId="1C28EF97" w14:textId="32D0E2AA" w:rsidR="00FB1C38" w:rsidRPr="00FD48F7" w:rsidRDefault="00FB1C38" w:rsidP="00FB1C38">
      <w:pPr>
        <w:spacing w:after="0" w:line="360" w:lineRule="auto"/>
        <w:rPr>
          <w:rFonts w:ascii="Arial" w:hAnsi="Arial" w:cs="Arial"/>
          <w:b/>
        </w:rPr>
      </w:pPr>
      <w:r>
        <w:rPr>
          <w:rFonts w:ascii="Arial" w:hAnsi="Arial" w:cs="Arial"/>
          <w:b/>
        </w:rPr>
        <w:lastRenderedPageBreak/>
        <w:t xml:space="preserve">I. </w:t>
      </w:r>
      <w:r w:rsidR="00FA6F7B">
        <w:rPr>
          <w:rFonts w:ascii="Arial" w:hAnsi="Arial" w:cs="Arial"/>
          <w:b/>
        </w:rPr>
        <w:t>FACULTAD MEXICANA DE MEDICINA</w:t>
      </w:r>
      <w:r w:rsidRPr="00FD48F7">
        <w:rPr>
          <w:rFonts w:ascii="Arial" w:hAnsi="Arial" w:cs="Arial"/>
          <w:b/>
        </w:rPr>
        <w:t xml:space="preserve"> DE LA UNIVERSIDAD LA SALLE</w:t>
      </w:r>
    </w:p>
    <w:p w14:paraId="697C3318" w14:textId="77777777" w:rsidR="00FB1C38" w:rsidRDefault="00FB1C38" w:rsidP="00FB1C38">
      <w:pPr>
        <w:tabs>
          <w:tab w:val="left" w:pos="1695"/>
        </w:tabs>
        <w:spacing w:after="0" w:line="360" w:lineRule="auto"/>
        <w:jc w:val="both"/>
        <w:rPr>
          <w:rFonts w:ascii="Arial" w:hAnsi="Arial" w:cs="Arial"/>
        </w:rPr>
      </w:pPr>
    </w:p>
    <w:p w14:paraId="5CC1053F" w14:textId="77777777" w:rsidR="00FB1C38" w:rsidRPr="002D0E04" w:rsidRDefault="00FB1C38" w:rsidP="00FB1C38">
      <w:pPr>
        <w:tabs>
          <w:tab w:val="left" w:pos="1695"/>
        </w:tabs>
        <w:spacing w:after="0" w:line="360" w:lineRule="auto"/>
        <w:jc w:val="both"/>
        <w:rPr>
          <w:rFonts w:ascii="Arial" w:hAnsi="Arial" w:cs="Arial"/>
          <w:b/>
        </w:rPr>
      </w:pPr>
      <w:r w:rsidRPr="002D0E04">
        <w:rPr>
          <w:rFonts w:ascii="Arial" w:hAnsi="Arial" w:cs="Arial"/>
          <w:b/>
        </w:rPr>
        <w:t>1.1. Enfoque pedagógico</w:t>
      </w:r>
    </w:p>
    <w:p w14:paraId="73F32072" w14:textId="77777777" w:rsidR="00FB1C38" w:rsidRPr="00FD48F7" w:rsidRDefault="00FB1C38" w:rsidP="00FB1C38">
      <w:pPr>
        <w:tabs>
          <w:tab w:val="left" w:pos="1695"/>
        </w:tabs>
        <w:spacing w:after="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14:paraId="51309818" w14:textId="77777777" w:rsidR="00FB1C38" w:rsidRPr="00E4327A" w:rsidRDefault="00FB1C38" w:rsidP="00FB1C38">
      <w:pPr>
        <w:tabs>
          <w:tab w:val="left" w:pos="1695"/>
        </w:tabs>
        <w:spacing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14:paraId="5047B319" w14:textId="7740EDDD" w:rsidR="00FB1C38" w:rsidRPr="00E4327A" w:rsidRDefault="00FB1C38" w:rsidP="00FB1C38">
      <w:pPr>
        <w:spacing w:after="0" w:line="360" w:lineRule="auto"/>
        <w:jc w:val="both"/>
        <w:rPr>
          <w:rFonts w:ascii="Arial" w:hAnsi="Arial" w:cs="Arial"/>
        </w:rPr>
      </w:pPr>
      <w:r w:rsidRPr="00E4327A">
        <w:rPr>
          <w:rFonts w:ascii="Arial" w:hAnsi="Arial" w:cs="Arial"/>
        </w:rPr>
        <w:t xml:space="preserve">Respecto al enfoque pedagógico, este se entiende desde el paradigma sociocognitivo,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r w:rsidRPr="00E4327A">
        <w:rPr>
          <w:rFonts w:ascii="Arial" w:hAnsi="Arial" w:cs="Arial"/>
        </w:rPr>
        <w:t>.</w:t>
      </w:r>
    </w:p>
    <w:p w14:paraId="69AEB2E0" w14:textId="77777777" w:rsidR="00FB1C38" w:rsidRPr="00FD48F7" w:rsidRDefault="00FB1C38" w:rsidP="00FB1C38">
      <w:pPr>
        <w:tabs>
          <w:tab w:val="left" w:pos="1695"/>
        </w:tabs>
        <w:spacing w:after="0" w:line="360" w:lineRule="auto"/>
        <w:jc w:val="both"/>
        <w:rPr>
          <w:rFonts w:ascii="Arial" w:hAnsi="Arial" w:cs="Arial"/>
        </w:rPr>
      </w:pPr>
      <w:r w:rsidRPr="00E4327A">
        <w:rPr>
          <w:rFonts w:ascii="Arial" w:hAnsi="Arial" w:cs="Arial"/>
        </w:rPr>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14:paraId="6E1131AF" w14:textId="77777777" w:rsidR="00FB1C38" w:rsidRPr="00FD48F7" w:rsidRDefault="00FB1C38" w:rsidP="00FB1C38">
      <w:pPr>
        <w:tabs>
          <w:tab w:val="left" w:pos="1695"/>
        </w:tabs>
        <w:spacing w:after="0" w:line="360" w:lineRule="auto"/>
        <w:jc w:val="both"/>
        <w:rPr>
          <w:rFonts w:ascii="Arial" w:hAnsi="Arial" w:cs="Arial"/>
        </w:rPr>
      </w:pPr>
    </w:p>
    <w:p w14:paraId="24ABFF83" w14:textId="77777777" w:rsidR="00FB1C38" w:rsidRPr="00FD48F7" w:rsidRDefault="00FB1C38" w:rsidP="00FB1C38">
      <w:pPr>
        <w:tabs>
          <w:tab w:val="left" w:pos="1695"/>
        </w:tabs>
        <w:spacing w:after="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14:paraId="7575FEA8" w14:textId="77777777" w:rsidR="00FB1C38" w:rsidRPr="00FD48F7" w:rsidRDefault="00FB1C38" w:rsidP="00FB1C38">
      <w:pPr>
        <w:tabs>
          <w:tab w:val="left" w:pos="1695"/>
        </w:tabs>
        <w:spacing w:after="0" w:line="360" w:lineRule="auto"/>
        <w:jc w:val="both"/>
        <w:rPr>
          <w:rFonts w:ascii="Arial" w:hAnsi="Arial" w:cs="Arial"/>
          <w:color w:val="000000"/>
        </w:rPr>
      </w:pPr>
    </w:p>
    <w:p w14:paraId="4AB76A77" w14:textId="77777777" w:rsidR="00FB1C38" w:rsidRPr="00FD48F7" w:rsidRDefault="00FB1C38" w:rsidP="00FB1C38">
      <w:pPr>
        <w:tabs>
          <w:tab w:val="left" w:pos="1695"/>
        </w:tabs>
        <w:spacing w:after="0" w:line="360" w:lineRule="auto"/>
        <w:jc w:val="both"/>
        <w:rPr>
          <w:rFonts w:ascii="Arial" w:hAnsi="Arial" w:cs="Arial"/>
        </w:rPr>
      </w:pPr>
      <w:r w:rsidRPr="00FD48F7">
        <w:rPr>
          <w:rFonts w:ascii="Arial" w:hAnsi="Arial" w:cs="Arial"/>
        </w:rPr>
        <w:t xml:space="preserve">La formación integral, como se ha mencionado antes, constituye el componente que cohesiona las prácticas educativas de la Facultad con el proyecto educativo institucional, y que además proporciona soportes conceptuales y especialmente valorales desde una perspectiva humanista-cristiana, que derivan en actitudes éticas para el desempeño </w:t>
      </w:r>
      <w:r w:rsidRPr="00FD48F7">
        <w:rPr>
          <w:rFonts w:ascii="Arial" w:hAnsi="Arial" w:cs="Arial"/>
        </w:rPr>
        <w:lastRenderedPageBreak/>
        <w:t>profesional y acciones solidarias para contribuir a la mejora en las condiciones de vida de grupos y personas menos favorecidas por las condiciones socioeconómicas.</w:t>
      </w:r>
    </w:p>
    <w:p w14:paraId="797C45BF" w14:textId="77777777" w:rsidR="00FB1C38" w:rsidRPr="00FD48F7" w:rsidRDefault="00FB1C38" w:rsidP="00FB1C38">
      <w:pPr>
        <w:tabs>
          <w:tab w:val="left" w:pos="1695"/>
        </w:tabs>
        <w:spacing w:after="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14:paraId="2F8CAD85" w14:textId="77777777" w:rsidR="00FB1C38" w:rsidRPr="00FD48F7" w:rsidRDefault="00FB1C38" w:rsidP="00FB1C38">
      <w:pPr>
        <w:tabs>
          <w:tab w:val="left" w:pos="1695"/>
        </w:tabs>
        <w:spacing w:after="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además, el desarrollo de múltiples estrategias que fomentan el desempeño académico y, posteriormente, el profesional signado por la metacognición y la autorregulación.</w:t>
      </w:r>
    </w:p>
    <w:p w14:paraId="42E987FB" w14:textId="77777777" w:rsidR="00FB1C38" w:rsidRPr="00FD48F7" w:rsidRDefault="00FB1C38" w:rsidP="00FB1C38">
      <w:pPr>
        <w:tabs>
          <w:tab w:val="left" w:pos="1695"/>
        </w:tabs>
        <w:spacing w:after="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asociadas con el perfil académico profesional y con el ejercicio del campo laboral, tanto del pregrado como del posgrado, específicamente para las especialidades médicas.</w:t>
      </w:r>
    </w:p>
    <w:p w14:paraId="141278A9" w14:textId="77777777" w:rsidR="00FB1C38" w:rsidRDefault="00FB1C38" w:rsidP="00FB1C38">
      <w:pPr>
        <w:tabs>
          <w:tab w:val="left" w:pos="1695"/>
        </w:tabs>
        <w:spacing w:after="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w:t>
      </w:r>
      <w:r w:rsidRPr="00FD48F7">
        <w:rPr>
          <w:rFonts w:ascii="Arial" w:hAnsi="Arial" w:cs="Arial"/>
          <w:color w:val="000000"/>
        </w:rPr>
        <w:lastRenderedPageBreak/>
        <w:t>adecuada y prescribir el tratamiento adecuado para lograr la curación y en su caso, mantener esquemas de seguimiento a la evolución del tratamiento prescrito.</w:t>
      </w:r>
    </w:p>
    <w:p w14:paraId="23ABA205"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14:paraId="0A735D41"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14:paraId="06CD4C60"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asimilación y circulación de los conocimientos científicos, tecnológicos y humanísticos dentro de su recinto y fuera de él para beneficio de la sociedad.</w:t>
      </w:r>
    </w:p>
    <w:p w14:paraId="0CF7B67A"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xml:space="preserve">Por otra parte, la FMM concibe a la vinculación y a la colaboración como los mecanismos que promueven el crecimiento y la consolidación de las organizaciones e instituciones de educación superior para mejorar su capacidad de respuesta a las demandas de la sociedad. </w:t>
      </w:r>
      <w:r w:rsidRPr="00BD052E">
        <w:rPr>
          <w:rFonts w:ascii="Arial" w:hAnsi="Arial" w:cs="Arial"/>
          <w:color w:val="000000"/>
        </w:rPr>
        <w:lastRenderedPageBreak/>
        <w:t>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14:paraId="16201142"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xml:space="preserve"> 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14:paraId="6742C786"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14:paraId="07ED4284" w14:textId="77777777" w:rsidR="00FB1C38" w:rsidRPr="00D12EE8" w:rsidRDefault="00FB1C38" w:rsidP="00FB1C38">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Intercambio académico.</w:t>
      </w:r>
    </w:p>
    <w:p w14:paraId="341D6578" w14:textId="77777777" w:rsidR="00FB1C38" w:rsidRPr="00D12EE8" w:rsidRDefault="00FB1C38" w:rsidP="00FB1C38">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Servicio social profesional.</w:t>
      </w:r>
    </w:p>
    <w:p w14:paraId="66CA8A2D" w14:textId="77777777" w:rsidR="00FB1C38" w:rsidRPr="00D12EE8" w:rsidRDefault="00FB1C38" w:rsidP="00FB1C38">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Pastoral universitaria.</w:t>
      </w:r>
    </w:p>
    <w:p w14:paraId="0323DB89" w14:textId="77777777" w:rsidR="00FB1C38" w:rsidRPr="00D12EE8" w:rsidRDefault="00FB1C38" w:rsidP="00FB1C38">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Convenios y acuerdos de colaboración.</w:t>
      </w:r>
    </w:p>
    <w:p w14:paraId="11A9BB90" w14:textId="77777777" w:rsidR="00FB1C38" w:rsidRPr="00BB522B" w:rsidRDefault="00FB1C38" w:rsidP="004A504F">
      <w:pPr>
        <w:pStyle w:val="Prrafodelista"/>
        <w:numPr>
          <w:ilvl w:val="0"/>
          <w:numId w:val="6"/>
        </w:numPr>
        <w:tabs>
          <w:tab w:val="left" w:pos="1695"/>
        </w:tabs>
        <w:spacing w:after="0" w:line="240" w:lineRule="auto"/>
        <w:ind w:left="714" w:hanging="357"/>
        <w:jc w:val="both"/>
        <w:rPr>
          <w:rFonts w:ascii="Arial" w:hAnsi="Arial" w:cs="Arial"/>
          <w:color w:val="000000"/>
        </w:rPr>
      </w:pPr>
      <w:r w:rsidRPr="00BB522B">
        <w:rPr>
          <w:rFonts w:ascii="Arial" w:hAnsi="Arial" w:cs="Arial"/>
          <w:color w:val="000000"/>
        </w:rPr>
        <w:t>Voluntariado.</w:t>
      </w:r>
    </w:p>
    <w:p w14:paraId="378D3DE9" w14:textId="77777777" w:rsidR="00FB1C38" w:rsidRPr="004A504F" w:rsidRDefault="00FB1C38" w:rsidP="00FB1C38">
      <w:pPr>
        <w:tabs>
          <w:tab w:val="left" w:pos="1695"/>
        </w:tabs>
        <w:spacing w:after="0" w:line="360" w:lineRule="auto"/>
        <w:jc w:val="both"/>
        <w:rPr>
          <w:rFonts w:ascii="Arial" w:hAnsi="Arial" w:cs="Arial"/>
          <w:color w:val="000000"/>
          <w:sz w:val="12"/>
          <w:szCs w:val="12"/>
        </w:rPr>
      </w:pPr>
    </w:p>
    <w:p w14:paraId="408CDFC6" w14:textId="77777777" w:rsidR="00FB1C38" w:rsidRPr="00BD052E" w:rsidRDefault="00FB1C38" w:rsidP="00FB1C38">
      <w:pPr>
        <w:tabs>
          <w:tab w:val="left" w:pos="1695"/>
        </w:tabs>
        <w:spacing w:after="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14:paraId="77717762" w14:textId="77777777" w:rsidR="00FB1C38" w:rsidRDefault="00FB1C38" w:rsidP="00FB1C38">
      <w:pPr>
        <w:tabs>
          <w:tab w:val="left" w:pos="1695"/>
        </w:tabs>
        <w:spacing w:after="0" w:line="360" w:lineRule="auto"/>
        <w:jc w:val="both"/>
        <w:rPr>
          <w:rFonts w:ascii="Arial" w:hAnsi="Arial" w:cs="Arial"/>
          <w:color w:val="000000"/>
        </w:rPr>
      </w:pPr>
    </w:p>
    <w:p w14:paraId="56FDDD3E"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14:paraId="641D6A10"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intercambios pueden efectuarse en agrupamientos diferentes (individuales, grupales, en pequeños equipos) y en modalidades educativas distintas.</w:t>
      </w:r>
    </w:p>
    <w:p w14:paraId="577AE025"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14:paraId="36BA3D7F"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lastRenderedPageBreak/>
        <w:t>• Procesos grupales</w:t>
      </w:r>
    </w:p>
    <w:p w14:paraId="21D5FE64"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14:paraId="298D0038" w14:textId="77777777" w:rsidR="00FB1C38" w:rsidRPr="00BD052E" w:rsidRDefault="00FB1C38" w:rsidP="00FB1C38">
      <w:pPr>
        <w:tabs>
          <w:tab w:val="left" w:pos="1695"/>
        </w:tabs>
        <w:spacing w:after="0" w:line="360" w:lineRule="auto"/>
        <w:jc w:val="both"/>
        <w:rPr>
          <w:rFonts w:ascii="Arial" w:hAnsi="Arial" w:cs="Arial"/>
          <w:color w:val="000000"/>
        </w:rPr>
      </w:pPr>
    </w:p>
    <w:p w14:paraId="214E3F89"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14:paraId="51E8206B"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e incluyen en ellos funciones de asesoría, de orientación vocacional y profesiográfica</w:t>
      </w:r>
      <w:r>
        <w:rPr>
          <w:rFonts w:ascii="Arial" w:hAnsi="Arial" w:cs="Arial"/>
          <w:color w:val="000000"/>
        </w:rPr>
        <w:t>.</w:t>
      </w:r>
    </w:p>
    <w:p w14:paraId="513084CF" w14:textId="77777777" w:rsidR="00FB1C38" w:rsidRPr="00BD052E" w:rsidRDefault="00FB1C38" w:rsidP="00FB1C38">
      <w:pPr>
        <w:tabs>
          <w:tab w:val="left" w:pos="1695"/>
        </w:tabs>
        <w:spacing w:after="0" w:line="360" w:lineRule="auto"/>
        <w:jc w:val="both"/>
        <w:rPr>
          <w:rFonts w:ascii="Arial" w:hAnsi="Arial" w:cs="Arial"/>
          <w:color w:val="000000"/>
        </w:rPr>
      </w:pPr>
    </w:p>
    <w:p w14:paraId="4D63CE2B"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14:paraId="08E920B7"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14:paraId="7298BED4"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14:paraId="68DDCD9D" w14:textId="77777777" w:rsidR="00FB1C38" w:rsidRP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lastRenderedPageBreak/>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14:paraId="4C760B25" w14:textId="2025F0F4" w:rsidR="00BD052E" w:rsidRDefault="00FB1C38" w:rsidP="00FB1C38">
      <w:pPr>
        <w:tabs>
          <w:tab w:val="left" w:pos="1695"/>
        </w:tabs>
        <w:spacing w:after="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14:paraId="6D87E86E" w14:textId="11ECA6A5" w:rsidR="00865212" w:rsidRDefault="00865212" w:rsidP="00954059">
      <w:pPr>
        <w:tabs>
          <w:tab w:val="left" w:pos="1695"/>
        </w:tabs>
        <w:spacing w:after="0" w:line="360" w:lineRule="auto"/>
        <w:jc w:val="both"/>
        <w:rPr>
          <w:rFonts w:ascii="Arial" w:hAnsi="Arial" w:cs="Arial"/>
          <w:color w:val="000000"/>
        </w:rPr>
      </w:pPr>
    </w:p>
    <w:p w14:paraId="0B8DB1FE" w14:textId="77777777" w:rsidR="005B6CA1" w:rsidRPr="005B6CA1" w:rsidRDefault="006046FB" w:rsidP="005B6CA1">
      <w:pPr>
        <w:spacing w:after="0" w:line="360" w:lineRule="auto"/>
        <w:rPr>
          <w:rFonts w:ascii="Arial" w:hAnsi="Arial" w:cs="Arial"/>
          <w:b/>
        </w:rPr>
      </w:pPr>
      <w:r>
        <w:rPr>
          <w:rFonts w:ascii="Arial" w:hAnsi="Arial" w:cs="Arial"/>
          <w:b/>
        </w:rPr>
        <w:t>I</w:t>
      </w:r>
      <w:r w:rsidR="005B44CA">
        <w:rPr>
          <w:rFonts w:ascii="Arial" w:hAnsi="Arial" w:cs="Arial"/>
          <w:b/>
        </w:rPr>
        <w:t>I</w:t>
      </w:r>
      <w:r w:rsidR="005B6CA1" w:rsidRPr="005B6CA1">
        <w:rPr>
          <w:rFonts w:ascii="Arial" w:hAnsi="Arial" w:cs="Arial"/>
          <w:b/>
        </w:rPr>
        <w:t>. IDENTIFICACIÓN DE NECESIDADES SOCIALES</w:t>
      </w:r>
    </w:p>
    <w:p w14:paraId="55F211A6" w14:textId="77777777" w:rsidR="005B6CA1" w:rsidRPr="005B6CA1" w:rsidRDefault="005B6CA1" w:rsidP="005B6CA1">
      <w:pPr>
        <w:spacing w:after="0" w:line="360" w:lineRule="auto"/>
        <w:rPr>
          <w:rFonts w:ascii="Arial" w:hAnsi="Arial" w:cs="Arial"/>
        </w:rPr>
      </w:pPr>
    </w:p>
    <w:p w14:paraId="429BE5DF" w14:textId="77777777" w:rsidR="005B6CA1" w:rsidRPr="005B6CA1" w:rsidRDefault="006046FB" w:rsidP="005B6CA1">
      <w:pPr>
        <w:spacing w:after="0" w:line="360" w:lineRule="auto"/>
        <w:rPr>
          <w:rFonts w:ascii="Arial" w:hAnsi="Arial" w:cs="Arial"/>
        </w:rPr>
      </w:pPr>
      <w:r>
        <w:rPr>
          <w:rFonts w:ascii="Arial" w:hAnsi="Arial" w:cs="Arial"/>
          <w:b/>
        </w:rPr>
        <w:t>2</w:t>
      </w:r>
      <w:r w:rsidR="005B6CA1" w:rsidRPr="005B6CA1">
        <w:rPr>
          <w:rFonts w:ascii="Arial" w:hAnsi="Arial" w:cs="Arial"/>
          <w:b/>
        </w:rPr>
        <w:t>.</w:t>
      </w:r>
      <w:r w:rsidR="005B44CA">
        <w:rPr>
          <w:rFonts w:ascii="Arial" w:hAnsi="Arial" w:cs="Arial"/>
          <w:b/>
        </w:rPr>
        <w:t>1.</w:t>
      </w:r>
      <w:r w:rsidR="005B6CA1" w:rsidRPr="005B6CA1">
        <w:rPr>
          <w:rFonts w:ascii="Arial" w:hAnsi="Arial" w:cs="Arial"/>
        </w:rPr>
        <w:t xml:space="preserve"> </w:t>
      </w:r>
      <w:r w:rsidR="005B6CA1" w:rsidRPr="005B6CA1">
        <w:rPr>
          <w:rFonts w:ascii="Arial" w:hAnsi="Arial" w:cs="Arial"/>
          <w:b/>
        </w:rPr>
        <w:t>PERFIL DEMOGRÁFICO</w:t>
      </w:r>
    </w:p>
    <w:p w14:paraId="71CE6A4F" w14:textId="77777777" w:rsidR="00B350E5" w:rsidRPr="005B6CA1" w:rsidRDefault="00B350E5" w:rsidP="00B350E5">
      <w:pPr>
        <w:spacing w:line="360" w:lineRule="auto"/>
        <w:jc w:val="both"/>
        <w:rPr>
          <w:rFonts w:ascii="Arial" w:hAnsi="Arial" w:cs="Arial"/>
        </w:rPr>
      </w:pPr>
      <w:r w:rsidRPr="005B6CA1">
        <w:rPr>
          <w:rFonts w:ascii="Arial" w:hAnsi="Arial" w:cs="Arial"/>
        </w:rPr>
        <w:t>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14:paraId="16D151C9" w14:textId="77777777" w:rsidR="00143F9A" w:rsidRDefault="00B350E5" w:rsidP="00B350E5">
      <w:pPr>
        <w:spacing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xml:space="preserve">. En cuanto a la estructura etaria (Gráfica 1), los grupos poblaciones más jóvenes (0-19 años) aún constituyen los de mayor importancia </w:t>
      </w:r>
      <w:r w:rsidRPr="005B6CA1">
        <w:rPr>
          <w:rFonts w:ascii="Arial" w:hAnsi="Arial" w:cs="Arial"/>
        </w:rPr>
        <w:lastRenderedPageBreak/>
        <w:t>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14:paraId="773B53DF" w14:textId="3C8E441C" w:rsidR="00B350E5" w:rsidRPr="005B6CA1" w:rsidRDefault="002A00F2" w:rsidP="00B350E5">
      <w:pPr>
        <w:spacing w:line="360" w:lineRule="auto"/>
        <w:jc w:val="both"/>
        <w:rPr>
          <w:rFonts w:ascii="Arial" w:hAnsi="Arial" w:cs="Arial"/>
        </w:rPr>
      </w:pPr>
      <w:r>
        <w:rPr>
          <w:rFonts w:ascii="Arial" w:hAnsi="Arial" w:cs="Arial"/>
        </w:rPr>
        <w:t>E</w:t>
      </w:r>
      <w:r w:rsidR="00B350E5" w:rsidRPr="005B6CA1">
        <w:rPr>
          <w:rFonts w:ascii="Arial" w:hAnsi="Arial" w:cs="Arial"/>
        </w:rPr>
        <w:t>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00B350E5" w:rsidRPr="005B6CA1">
        <w:rPr>
          <w:rStyle w:val="Refdenotaalpie"/>
          <w:rFonts w:ascii="Arial" w:hAnsi="Arial" w:cs="Arial"/>
        </w:rPr>
        <w:footnoteReference w:id="8"/>
      </w:r>
      <w:r w:rsidR="00B350E5" w:rsidRPr="005B6CA1">
        <w:rPr>
          <w:rFonts w:ascii="Arial" w:hAnsi="Arial" w:cs="Arial"/>
        </w:rPr>
        <w:t>. Por ejemplo, para el año 2019, la entidad con mayor volumen poblacional es el Estado de México con 17.2 millones de habitantes, en cambio, 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00B350E5" w:rsidRPr="005B6CA1">
        <w:rPr>
          <w:rStyle w:val="Refdenotaalpie"/>
          <w:rFonts w:ascii="Arial" w:hAnsi="Arial" w:cs="Arial"/>
        </w:rPr>
        <w:footnoteReference w:id="9"/>
      </w:r>
      <w:r w:rsidR="00B350E5" w:rsidRPr="005B6CA1">
        <w:rPr>
          <w:rFonts w:ascii="Arial" w:hAnsi="Arial" w:cs="Arial"/>
        </w:rPr>
        <w:t>.</w:t>
      </w:r>
    </w:p>
    <w:p w14:paraId="3A0D99A2" w14:textId="77777777" w:rsidR="002D0E04" w:rsidRDefault="002D0E04">
      <w:pPr>
        <w:rPr>
          <w:rFonts w:ascii="Arial" w:hAnsi="Arial" w:cs="Arial"/>
          <w:b/>
        </w:rPr>
      </w:pPr>
      <w:r>
        <w:rPr>
          <w:rFonts w:ascii="Arial" w:hAnsi="Arial" w:cs="Arial"/>
          <w:b/>
        </w:rPr>
        <w:br w:type="page"/>
      </w:r>
    </w:p>
    <w:p w14:paraId="36CBAD00" w14:textId="77777777" w:rsidR="00B350E5" w:rsidRPr="005B6CA1" w:rsidRDefault="00B350E5" w:rsidP="00B350E5">
      <w:pPr>
        <w:spacing w:line="360" w:lineRule="auto"/>
        <w:jc w:val="center"/>
        <w:rPr>
          <w:rFonts w:ascii="Arial" w:hAnsi="Arial" w:cs="Arial"/>
          <w:b/>
        </w:rPr>
      </w:pPr>
      <w:r w:rsidRPr="005B6CA1">
        <w:rPr>
          <w:rFonts w:ascii="Arial" w:hAnsi="Arial" w:cs="Arial"/>
          <w:b/>
        </w:rPr>
        <w:lastRenderedPageBreak/>
        <w:t>Gráfica 1. Estructura etaria en México, 2019 y 2050.</w:t>
      </w:r>
    </w:p>
    <w:p w14:paraId="3EB8A7FA" w14:textId="77777777"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6D031906" wp14:editId="2AE3E5CE">
            <wp:extent cx="4572000" cy="2510287"/>
            <wp:effectExtent l="0" t="0" r="19050" b="2349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D10E687" w14:textId="77777777" w:rsidR="00B350E5" w:rsidRPr="009762E7" w:rsidRDefault="00B350E5" w:rsidP="00B350E5">
      <w:pPr>
        <w:spacing w:after="0" w:line="360" w:lineRule="auto"/>
        <w:ind w:left="708" w:firstLine="708"/>
        <w:jc w:val="both"/>
        <w:rPr>
          <w:rFonts w:ascii="Arial" w:hAnsi="Arial" w:cs="Arial"/>
          <w:sz w:val="20"/>
        </w:rPr>
      </w:pPr>
      <w:r w:rsidRPr="009762E7">
        <w:rPr>
          <w:rFonts w:ascii="Arial" w:hAnsi="Arial" w:cs="Arial"/>
          <w:b/>
          <w:sz w:val="18"/>
        </w:rPr>
        <w:t>Fuente:</w:t>
      </w:r>
      <w:r w:rsidRPr="009762E7">
        <w:rPr>
          <w:rFonts w:ascii="Arial" w:hAnsi="Arial" w:cs="Arial"/>
          <w:sz w:val="18"/>
        </w:rPr>
        <w:t xml:space="preserve"> Elaboración propia con base en CONAPO (2018).</w:t>
      </w:r>
      <w:r w:rsidRPr="009762E7">
        <w:rPr>
          <w:rFonts w:ascii="Arial" w:hAnsi="Arial" w:cs="Arial"/>
          <w:sz w:val="20"/>
        </w:rPr>
        <w:t xml:space="preserve"> </w:t>
      </w:r>
    </w:p>
    <w:p w14:paraId="1C68B88A" w14:textId="77777777" w:rsidR="00B350E5" w:rsidRPr="005B6CA1" w:rsidRDefault="00B350E5" w:rsidP="00B350E5">
      <w:pPr>
        <w:spacing w:line="360" w:lineRule="auto"/>
        <w:jc w:val="both"/>
        <w:rPr>
          <w:rFonts w:ascii="Arial" w:hAnsi="Arial" w:cs="Arial"/>
        </w:rPr>
      </w:pPr>
    </w:p>
    <w:p w14:paraId="787C4465" w14:textId="7EBB66D2" w:rsidR="00B350E5" w:rsidRPr="005B6CA1" w:rsidRDefault="00B350E5" w:rsidP="00B350E5">
      <w:pPr>
        <w:spacing w:line="360" w:lineRule="auto"/>
        <w:jc w:val="both"/>
        <w:rPr>
          <w:rFonts w:ascii="Arial" w:hAnsi="Arial" w:cs="Arial"/>
        </w:rPr>
      </w:pPr>
      <w:r w:rsidRPr="005B6CA1">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5B6CA1">
        <w:rPr>
          <w:rStyle w:val="Refdenotaalpie"/>
          <w:rFonts w:ascii="Arial" w:hAnsi="Arial" w:cs="Arial"/>
        </w:rPr>
        <w:footnoteReference w:id="10"/>
      </w:r>
      <w:r w:rsidRPr="005B6CA1">
        <w:rPr>
          <w:rFonts w:ascii="Arial" w:hAnsi="Arial" w:cs="Arial"/>
        </w:rPr>
        <w:t xml:space="preserve">. Al respecto, la Zona Metropolitana de la Ciudad de México (ZMCM) merece especial atención ya que, además de ser el corazón político y económico de una vasta región </w:t>
      </w:r>
      <w:r w:rsidR="00FA6F7B">
        <w:rPr>
          <w:rFonts w:ascii="Arial" w:hAnsi="Arial" w:cs="Arial"/>
        </w:rPr>
        <w:t xml:space="preserve">del </w:t>
      </w:r>
      <w:r w:rsidRPr="005B6CA1">
        <w:rPr>
          <w:rFonts w:ascii="Arial" w:hAnsi="Arial" w:cs="Arial"/>
        </w:rPr>
        <w:t>país, se ha consolidado como la principal urbe del país (y una de las más pobladas del planeta). Además, la ZMCM constituye una importante área de influencia directa de la Universidad La Salle.</w:t>
      </w:r>
    </w:p>
    <w:p w14:paraId="5258D4B8" w14:textId="77777777" w:rsidR="00B350E5" w:rsidRPr="005B6CA1" w:rsidRDefault="00B350E5" w:rsidP="00B350E5">
      <w:pPr>
        <w:spacing w:line="360" w:lineRule="auto"/>
        <w:jc w:val="both"/>
        <w:rPr>
          <w:rFonts w:ascii="Arial" w:hAnsi="Arial" w:cs="Arial"/>
        </w:rPr>
      </w:pPr>
      <w:r w:rsidRPr="005B6CA1">
        <w:rPr>
          <w:rFonts w:ascii="Arial" w:hAnsi="Arial" w:cs="Arial"/>
        </w:rPr>
        <w:t xml:space="preserve">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w:t>
      </w:r>
      <w:r w:rsidRPr="005B6CA1">
        <w:rPr>
          <w:rFonts w:ascii="Arial" w:hAnsi="Arial" w:cs="Arial"/>
        </w:rPr>
        <w:lastRenderedPageBreak/>
        <w:t>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14:paraId="34E584C4" w14:textId="77777777" w:rsidR="00B350E5" w:rsidRPr="005B6CA1" w:rsidRDefault="00B350E5" w:rsidP="00B350E5">
      <w:pPr>
        <w:spacing w:after="0" w:line="360" w:lineRule="auto"/>
        <w:jc w:val="center"/>
        <w:rPr>
          <w:rFonts w:ascii="Arial" w:hAnsi="Arial" w:cs="Arial"/>
          <w:b/>
        </w:rPr>
      </w:pPr>
      <w:r w:rsidRPr="005B6CA1">
        <w:rPr>
          <w:rFonts w:ascii="Arial" w:hAnsi="Arial" w:cs="Arial"/>
          <w:b/>
        </w:rPr>
        <w:t>Gráfica 2. Estructura etaria en la Zona Metropolitana de la Ciudad de México, 2015.</w:t>
      </w:r>
    </w:p>
    <w:p w14:paraId="64231896" w14:textId="77777777"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03F3D599" wp14:editId="3C56062E">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17313FA" w14:textId="77777777" w:rsidR="00B350E5" w:rsidRPr="005B6CA1" w:rsidRDefault="00B350E5" w:rsidP="00B350E5">
      <w:pPr>
        <w:spacing w:after="0" w:line="360" w:lineRule="auto"/>
        <w:ind w:left="708" w:firstLine="708"/>
        <w:jc w:val="both"/>
        <w:rPr>
          <w:rFonts w:ascii="Arial" w:hAnsi="Arial" w:cs="Arial"/>
        </w:rPr>
      </w:pPr>
      <w:r w:rsidRPr="009762E7">
        <w:rPr>
          <w:rFonts w:ascii="Arial" w:hAnsi="Arial" w:cs="Arial"/>
          <w:b/>
          <w:sz w:val="18"/>
        </w:rPr>
        <w:t>Fuente:</w:t>
      </w:r>
      <w:r w:rsidRPr="009762E7">
        <w:rPr>
          <w:rFonts w:ascii="Arial" w:hAnsi="Arial" w:cs="Arial"/>
          <w:sz w:val="18"/>
        </w:rPr>
        <w:t xml:space="preserve"> Elaboración propia con base en INEGI (2016).</w:t>
      </w:r>
      <w:r w:rsidRPr="009762E7">
        <w:rPr>
          <w:rFonts w:ascii="Arial" w:hAnsi="Arial" w:cs="Arial"/>
          <w:sz w:val="20"/>
        </w:rPr>
        <w:t xml:space="preserve"> </w:t>
      </w:r>
    </w:p>
    <w:p w14:paraId="26D21D5D" w14:textId="77777777" w:rsidR="00B350E5" w:rsidRDefault="00B350E5" w:rsidP="00B350E5">
      <w:pPr>
        <w:spacing w:line="360" w:lineRule="auto"/>
        <w:jc w:val="both"/>
        <w:rPr>
          <w:rFonts w:ascii="Arial" w:hAnsi="Arial" w:cs="Arial"/>
        </w:rPr>
      </w:pPr>
    </w:p>
    <w:p w14:paraId="65BD2D75" w14:textId="34E389E5" w:rsidR="00B350E5" w:rsidRPr="005B6CA1" w:rsidRDefault="002A00F2" w:rsidP="00B350E5">
      <w:pPr>
        <w:spacing w:line="360" w:lineRule="auto"/>
        <w:jc w:val="both"/>
        <w:rPr>
          <w:rFonts w:ascii="Arial" w:hAnsi="Arial" w:cs="Arial"/>
        </w:rPr>
      </w:pPr>
      <w:r>
        <w:rPr>
          <w:rFonts w:ascii="Arial" w:hAnsi="Arial" w:cs="Arial"/>
        </w:rPr>
        <w:t>A</w:t>
      </w:r>
      <w:r w:rsidR="00B350E5" w:rsidRPr="005B6CA1">
        <w:rPr>
          <w:rFonts w:ascii="Arial" w:hAnsi="Arial" w:cs="Arial"/>
        </w:rPr>
        <w:t>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salud</w:t>
      </w:r>
      <w:r w:rsidR="00B350E5" w:rsidRPr="005B6CA1">
        <w:rPr>
          <w:rStyle w:val="Refdenotaalpie"/>
          <w:rFonts w:ascii="Arial" w:hAnsi="Arial" w:cs="Arial"/>
        </w:rPr>
        <w:footnoteReference w:id="12"/>
      </w:r>
      <w:r w:rsidR="00B350E5" w:rsidRPr="005B6CA1">
        <w:rPr>
          <w:rFonts w:ascii="Arial" w:hAnsi="Arial" w:cs="Arial"/>
        </w:rPr>
        <w:t xml:space="preserve">. El proceso de metropolización ha incorporado unidades político-administrativas adyacentes como resultado de mecanismos expulsores generados por la propia dinámica económica y social de la ciudad central. Muestra de ello es que el proceso de envejecimiento se revela una estructura monocéntrica  (ver Mapa 1), es decir, las alcaldías centrales (CDMX) muestran mayores índices de población de 65 años y más, pero esta población tiende a disminuir conforme aumenta la distancia respecto al centro de la </w:t>
      </w:r>
      <w:r w:rsidR="00B350E5" w:rsidRPr="005B6CA1">
        <w:rPr>
          <w:rFonts w:ascii="Arial" w:hAnsi="Arial" w:cs="Arial"/>
        </w:rPr>
        <w:lastRenderedPageBreak/>
        <w:t xml:space="preserve">metrópoli, en cambio, los municipios más alejados de la ciudad central son los de mayor índice de juventud (porcentaje de población de 0-29 años). </w:t>
      </w:r>
    </w:p>
    <w:p w14:paraId="2585D5F2" w14:textId="77777777" w:rsidR="00B350E5" w:rsidRPr="005B6CA1" w:rsidRDefault="00B350E5" w:rsidP="00B350E5">
      <w:pPr>
        <w:spacing w:line="360" w:lineRule="auto"/>
        <w:jc w:val="center"/>
        <w:rPr>
          <w:rFonts w:ascii="Arial" w:hAnsi="Arial" w:cs="Arial"/>
          <w:b/>
        </w:rPr>
      </w:pPr>
      <w:r w:rsidRPr="005B6CA1">
        <w:rPr>
          <w:rFonts w:ascii="Arial" w:hAnsi="Arial" w:cs="Arial"/>
          <w:b/>
        </w:rPr>
        <w:t>Mapa 1. Distribución espacial de la población de 65 años y más a nivel municipal en la Zona Metropolitana de la Ciudad de México, 2015.</w:t>
      </w:r>
    </w:p>
    <w:p w14:paraId="1A6D62BC" w14:textId="77777777"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4B37E402" wp14:editId="3A32FDA3">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40000" cy="3176966"/>
                    </a:xfrm>
                    <a:prstGeom prst="rect">
                      <a:avLst/>
                    </a:prstGeom>
                    <a:ln>
                      <a:solidFill>
                        <a:schemeClr val="accent1"/>
                      </a:solidFill>
                    </a:ln>
                  </pic:spPr>
                </pic:pic>
              </a:graphicData>
            </a:graphic>
          </wp:inline>
        </w:drawing>
      </w:r>
    </w:p>
    <w:p w14:paraId="71717426" w14:textId="4C2B3CEA" w:rsidR="00B350E5" w:rsidRPr="009762E7" w:rsidRDefault="00BE74B7" w:rsidP="00B350E5">
      <w:pPr>
        <w:spacing w:after="0" w:line="360" w:lineRule="auto"/>
        <w:ind w:left="1416"/>
        <w:jc w:val="both"/>
        <w:rPr>
          <w:rFonts w:ascii="Arial" w:hAnsi="Arial" w:cs="Arial"/>
          <w:sz w:val="18"/>
        </w:rPr>
      </w:pPr>
      <w:r>
        <w:rPr>
          <w:rFonts w:ascii="Arial" w:hAnsi="Arial" w:cs="Arial"/>
          <w:b/>
          <w:sz w:val="18"/>
        </w:rPr>
        <w:t xml:space="preserve">               </w:t>
      </w:r>
      <w:r w:rsidR="00B350E5" w:rsidRPr="009762E7">
        <w:rPr>
          <w:rFonts w:ascii="Arial" w:hAnsi="Arial" w:cs="Arial"/>
          <w:b/>
          <w:sz w:val="18"/>
        </w:rPr>
        <w:t>Fuente:</w:t>
      </w:r>
      <w:r w:rsidR="00B350E5" w:rsidRPr="009762E7">
        <w:rPr>
          <w:rFonts w:ascii="Arial" w:hAnsi="Arial" w:cs="Arial"/>
          <w:sz w:val="18"/>
        </w:rPr>
        <w:t xml:space="preserve"> Elaboración propia con base en </w:t>
      </w:r>
      <w:r w:rsidR="00B350E5">
        <w:rPr>
          <w:rFonts w:ascii="Arial" w:hAnsi="Arial" w:cs="Arial"/>
          <w:sz w:val="18"/>
        </w:rPr>
        <w:t>INEGI (2016</w:t>
      </w:r>
      <w:r w:rsidR="00B350E5" w:rsidRPr="009762E7">
        <w:rPr>
          <w:rFonts w:ascii="Arial" w:hAnsi="Arial" w:cs="Arial"/>
          <w:sz w:val="18"/>
        </w:rPr>
        <w:t>).</w:t>
      </w:r>
    </w:p>
    <w:p w14:paraId="2881DC4D" w14:textId="77777777" w:rsidR="00B350E5" w:rsidRDefault="00B350E5" w:rsidP="00B350E5">
      <w:pPr>
        <w:spacing w:line="360" w:lineRule="auto"/>
        <w:jc w:val="both"/>
        <w:rPr>
          <w:rFonts w:ascii="Arial" w:hAnsi="Arial" w:cs="Arial"/>
        </w:rPr>
      </w:pPr>
    </w:p>
    <w:p w14:paraId="18ED519D" w14:textId="77777777" w:rsidR="00B350E5" w:rsidRPr="005B6CA1" w:rsidRDefault="00B350E5" w:rsidP="00B350E5">
      <w:pPr>
        <w:spacing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xml:space="preserve">. La transición demográfica, junto con la epidemiológica, han llevado a una rápida tendencia hacia el envejecimiento poblacional del país y de la ZMCM, acompañado 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w:t>
      </w:r>
      <w:r w:rsidRPr="005B6CA1">
        <w:rPr>
          <w:rFonts w:ascii="Arial" w:hAnsi="Arial" w:cs="Arial"/>
        </w:rPr>
        <w:lastRenderedPageBreak/>
        <w:t>vida de la población general, y a su vez, tomando en cuenta las demandas de cada grupo poblacional.</w:t>
      </w:r>
    </w:p>
    <w:p w14:paraId="6360AD21" w14:textId="77777777" w:rsidR="00B350E5" w:rsidRDefault="00B350E5" w:rsidP="00B350E5">
      <w:pPr>
        <w:spacing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14:paraId="0EDEB491" w14:textId="77777777" w:rsidR="007F2637" w:rsidRDefault="007F2637" w:rsidP="00B350E5">
      <w:pPr>
        <w:spacing w:after="0" w:line="360" w:lineRule="auto"/>
        <w:rPr>
          <w:rFonts w:ascii="Arial" w:hAnsi="Arial" w:cs="Arial"/>
          <w:b/>
        </w:rPr>
      </w:pPr>
    </w:p>
    <w:p w14:paraId="10C1CF88" w14:textId="77777777" w:rsidR="00B350E5" w:rsidRPr="005B6CA1" w:rsidRDefault="006046FB" w:rsidP="00B350E5">
      <w:pPr>
        <w:spacing w:after="0" w:line="360" w:lineRule="auto"/>
        <w:rPr>
          <w:rFonts w:ascii="Arial" w:hAnsi="Arial" w:cs="Arial"/>
        </w:rPr>
      </w:pPr>
      <w:r>
        <w:rPr>
          <w:rFonts w:ascii="Arial" w:hAnsi="Arial" w:cs="Arial"/>
          <w:b/>
        </w:rPr>
        <w:t>2</w:t>
      </w:r>
      <w:r w:rsidR="005B44CA">
        <w:rPr>
          <w:rFonts w:ascii="Arial" w:hAnsi="Arial" w:cs="Arial"/>
          <w:b/>
        </w:rPr>
        <w:t>.</w:t>
      </w:r>
      <w:r w:rsidR="00B350E5">
        <w:rPr>
          <w:rFonts w:ascii="Arial" w:hAnsi="Arial" w:cs="Arial"/>
          <w:b/>
        </w:rPr>
        <w:t>2</w:t>
      </w:r>
      <w:r w:rsidR="00B350E5" w:rsidRPr="005B6CA1">
        <w:rPr>
          <w:rFonts w:ascii="Arial" w:hAnsi="Arial" w:cs="Arial"/>
          <w:b/>
        </w:rPr>
        <w:t>.</w:t>
      </w:r>
      <w:r w:rsidR="00B350E5" w:rsidRPr="005B6CA1">
        <w:rPr>
          <w:rFonts w:ascii="Arial" w:hAnsi="Arial" w:cs="Arial"/>
        </w:rPr>
        <w:t xml:space="preserve"> </w:t>
      </w:r>
      <w:r w:rsidR="00B350E5" w:rsidRPr="005B6CA1">
        <w:rPr>
          <w:rFonts w:ascii="Arial" w:hAnsi="Arial" w:cs="Arial"/>
          <w:b/>
        </w:rPr>
        <w:t xml:space="preserve">PERFIL </w:t>
      </w:r>
      <w:r w:rsidR="00B350E5">
        <w:rPr>
          <w:rFonts w:ascii="Arial" w:hAnsi="Arial" w:cs="Arial"/>
          <w:b/>
        </w:rPr>
        <w:t xml:space="preserve">EN SALUD </w:t>
      </w:r>
    </w:p>
    <w:p w14:paraId="7643585D" w14:textId="77777777" w:rsidR="00B350E5" w:rsidRPr="005B6CA1" w:rsidRDefault="00B350E5" w:rsidP="00B350E5">
      <w:pPr>
        <w:spacing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14:paraId="10A1DE53" w14:textId="60E54AFB" w:rsidR="00B350E5" w:rsidRPr="005B6CA1" w:rsidRDefault="00B350E5" w:rsidP="00B350E5">
      <w:pPr>
        <w:spacing w:line="360" w:lineRule="auto"/>
        <w:jc w:val="both"/>
        <w:rPr>
          <w:rFonts w:ascii="Arial" w:hAnsi="Arial" w:cs="Arial"/>
        </w:rPr>
      </w:pPr>
      <w:r w:rsidRPr="005B6CA1">
        <w:rPr>
          <w:rFonts w:ascii="Arial" w:hAnsi="Arial" w:cs="Arial"/>
        </w:rPr>
        <w:t>El proceso dinámico en el cual los patrones de salud y enfermedad, así como la respuesta social or</w:t>
      </w:r>
      <w:r w:rsidR="00453AAE">
        <w:rPr>
          <w:rFonts w:ascii="Arial" w:hAnsi="Arial" w:cs="Arial"/>
        </w:rPr>
        <w:t xml:space="preserve">ganizada a dichas condiciones, </w:t>
      </w:r>
      <w:r w:rsidRPr="005B6CA1">
        <w:rPr>
          <w:rFonts w:ascii="Arial" w:hAnsi="Arial" w:cs="Arial"/>
        </w:rPr>
        <w:t xml:space="preserve">se han ido transformando en respuesta a cambios más amplios de índole demográfica, socioeconómica, tecnológica, política, cultural y biológica, se le considera como la transición en salud. Este último concepto está integrado 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w:t>
      </w:r>
      <w:r w:rsidRPr="005B6CA1">
        <w:rPr>
          <w:rFonts w:ascii="Arial" w:hAnsi="Arial" w:cs="Arial"/>
        </w:rPr>
        <w:lastRenderedPageBreak/>
        <w:t>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14:paraId="2CDAD76B" w14:textId="77777777" w:rsidR="007F2637" w:rsidRDefault="007F2637" w:rsidP="00B350E5">
      <w:pPr>
        <w:spacing w:after="0" w:line="360" w:lineRule="auto"/>
        <w:rPr>
          <w:rFonts w:ascii="Arial" w:hAnsi="Arial" w:cs="Arial"/>
          <w:b/>
        </w:rPr>
      </w:pPr>
    </w:p>
    <w:p w14:paraId="6286DF5D" w14:textId="77777777" w:rsidR="00B350E5" w:rsidRPr="005B6CA1" w:rsidRDefault="006046FB" w:rsidP="00B350E5">
      <w:pPr>
        <w:spacing w:after="0" w:line="360" w:lineRule="auto"/>
        <w:rPr>
          <w:rFonts w:ascii="Arial" w:hAnsi="Arial" w:cs="Arial"/>
        </w:rPr>
      </w:pPr>
      <w:r>
        <w:rPr>
          <w:rFonts w:ascii="Arial" w:hAnsi="Arial" w:cs="Arial"/>
          <w:b/>
        </w:rPr>
        <w:t>2</w:t>
      </w:r>
      <w:r w:rsidR="005B44CA">
        <w:rPr>
          <w:rFonts w:ascii="Arial" w:hAnsi="Arial" w:cs="Arial"/>
          <w:b/>
        </w:rPr>
        <w:t>.3.</w:t>
      </w:r>
      <w:r w:rsidR="00B350E5" w:rsidRPr="005B6CA1">
        <w:rPr>
          <w:rFonts w:ascii="Arial" w:hAnsi="Arial" w:cs="Arial"/>
        </w:rPr>
        <w:t xml:space="preserve"> </w:t>
      </w:r>
      <w:r w:rsidR="00B350E5">
        <w:rPr>
          <w:rFonts w:ascii="Arial" w:hAnsi="Arial" w:cs="Arial"/>
          <w:b/>
        </w:rPr>
        <w:t xml:space="preserve">MORBILIDAD </w:t>
      </w:r>
    </w:p>
    <w:p w14:paraId="6B33D52A" w14:textId="4894123E" w:rsidR="00B350E5" w:rsidRPr="005B6CA1" w:rsidRDefault="00B350E5" w:rsidP="00B350E5">
      <w:pPr>
        <w:spacing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00C87899">
        <w:rPr>
          <w:rFonts w:ascii="Arial" w:hAnsi="Arial" w:cs="Arial"/>
          <w:i/>
        </w:rPr>
        <w:t>et</w:t>
      </w:r>
      <w:r w:rsidRPr="005B6CA1">
        <w:rPr>
          <w:rFonts w:ascii="Arial" w:hAnsi="Arial" w:cs="Arial"/>
          <w:i/>
        </w:rPr>
        <w:t xml:space="preserve"> al.</w:t>
      </w:r>
      <w:r w:rsidRPr="005B6CA1">
        <w:rPr>
          <w:rFonts w:ascii="Arial" w:hAnsi="Arial" w:cs="Arial"/>
        </w:rPr>
        <w:t xml:space="preserve"> señala:</w:t>
      </w:r>
    </w:p>
    <w:p w14:paraId="3E85990E" w14:textId="77777777" w:rsidR="00B350E5" w:rsidRPr="005B6CA1" w:rsidRDefault="00B350E5" w:rsidP="00B350E5">
      <w:pPr>
        <w:spacing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14:paraId="264D7E09" w14:textId="77777777" w:rsidR="00B350E5" w:rsidRPr="005B6CA1" w:rsidRDefault="00B350E5" w:rsidP="00B350E5">
      <w:pPr>
        <w:spacing w:line="360" w:lineRule="auto"/>
        <w:jc w:val="both"/>
        <w:rPr>
          <w:rFonts w:ascii="Arial" w:hAnsi="Arial" w:cs="Arial"/>
        </w:rPr>
      </w:pPr>
      <w:r w:rsidRPr="005B6CA1">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relacionan con las etapas del curso de vida de las personas: menores de un año (población infantil), 1 a 4 años (niños en edad preescolar), 5 a 14 años (niños en edad escolar), 15 a 24 años (adolescentes y jóvenes), 25 a 44 años (adultos jóvenes), 45 a 64 años (adultos </w:t>
      </w:r>
      <w:r w:rsidRPr="005B6CA1">
        <w:rPr>
          <w:rFonts w:ascii="Arial" w:hAnsi="Arial" w:cs="Arial"/>
        </w:rPr>
        <w:lastRenderedPageBreak/>
        <w:t>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14:paraId="05E8F1D8" w14:textId="77777777" w:rsidR="00B350E5" w:rsidRPr="00B418B4" w:rsidRDefault="00B350E5" w:rsidP="00B350E5">
      <w:pPr>
        <w:spacing w:after="0"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14:paraId="5492A563" w14:textId="77777777" w:rsidR="00B350E5" w:rsidRDefault="00B350E5" w:rsidP="00B350E5">
      <w:pPr>
        <w:spacing w:after="0" w:line="360" w:lineRule="auto"/>
        <w:jc w:val="center"/>
        <w:rPr>
          <w:rFonts w:ascii="Arial" w:hAnsi="Arial" w:cs="Arial"/>
        </w:rPr>
      </w:pPr>
      <w:r>
        <w:rPr>
          <w:noProof/>
          <w:lang w:eastAsia="es-MX"/>
        </w:rPr>
        <w:drawing>
          <wp:inline distT="0" distB="0" distL="0" distR="0" wp14:anchorId="5139390B" wp14:editId="1B4E4B3E">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8DFB077"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5881957A" w14:textId="77777777" w:rsidR="00B350E5" w:rsidRPr="005B6CA1" w:rsidRDefault="00B350E5" w:rsidP="00B350E5">
      <w:pPr>
        <w:spacing w:line="360" w:lineRule="auto"/>
        <w:jc w:val="center"/>
        <w:rPr>
          <w:rFonts w:ascii="Arial" w:hAnsi="Arial" w:cs="Arial"/>
        </w:rPr>
      </w:pPr>
    </w:p>
    <w:p w14:paraId="7E5057C3" w14:textId="77777777" w:rsidR="00B350E5" w:rsidRDefault="00B350E5" w:rsidP="00B350E5">
      <w:pPr>
        <w:spacing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conviven tanto padecimientos transmisibles como no 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prácticamente representa la tercer causa de morbilidad entre los 15 y 64 años). La conjuntivitis también es un padecimiento latente a lo largo de todo el ciclo de vida de </w:t>
      </w:r>
      <w:r>
        <w:rPr>
          <w:rFonts w:ascii="Arial" w:hAnsi="Arial" w:cs="Arial"/>
        </w:rPr>
        <w:lastRenderedPageBreak/>
        <w:t>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a la alza hacia edades mayores. 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14:paraId="6B43CA00" w14:textId="205DE109" w:rsidR="00B350E5" w:rsidRDefault="00B350E5" w:rsidP="00B350E5">
      <w:pPr>
        <w:spacing w:line="360" w:lineRule="auto"/>
        <w:jc w:val="both"/>
        <w:rPr>
          <w:rFonts w:ascii="Arial" w:hAnsi="Arial" w:cs="Arial"/>
        </w:rPr>
      </w:pPr>
      <w:r>
        <w:rPr>
          <w:rFonts w:ascii="Arial" w:hAnsi="Arial" w:cs="Arial"/>
        </w:rPr>
        <w:t>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a la alza hasta los 64 años, aunque aún está presente en el grupo más envejecido; en hombres, la tasa más alta por diabetes se reporta en el grupo etario de 64-65 años (125.1 casos), asimismo en mujeres pero con mayores niveles (139.8). Finalmente, la hipertensión arterial es otro padecimiento que toma relevancia en la población adulta, e igualmente, con una tendencia a</w:t>
      </w:r>
      <w:r w:rsidR="00D23750">
        <w:rPr>
          <w:rFonts w:ascii="Arial" w:hAnsi="Arial" w:cs="Arial"/>
        </w:rPr>
        <w:t xml:space="preserve"> </w:t>
      </w:r>
      <w:r>
        <w:rPr>
          <w:rFonts w:ascii="Arial" w:hAnsi="Arial" w:cs="Arial"/>
        </w:rPr>
        <w:t>l</w:t>
      </w:r>
      <w:r w:rsidR="00D23750">
        <w:rPr>
          <w:rFonts w:ascii="Arial" w:hAnsi="Arial" w:cs="Arial"/>
        </w:rPr>
        <w:t>a</w:t>
      </w:r>
      <w:r>
        <w:rPr>
          <w:rFonts w:ascii="Arial" w:hAnsi="Arial" w:cs="Arial"/>
        </w:rPr>
        <w:t xml:space="preserve"> alza conforme la población envejece</w:t>
      </w:r>
      <w:r>
        <w:rPr>
          <w:rStyle w:val="Refdenotaalpie"/>
          <w:rFonts w:ascii="Arial" w:hAnsi="Arial" w:cs="Arial"/>
        </w:rPr>
        <w:footnoteReference w:id="23"/>
      </w:r>
      <w:r>
        <w:rPr>
          <w:rFonts w:ascii="Arial" w:hAnsi="Arial" w:cs="Arial"/>
        </w:rPr>
        <w:t xml:space="preserve">.    </w:t>
      </w:r>
    </w:p>
    <w:p w14:paraId="78DEA5D5" w14:textId="77777777" w:rsidR="00453AAE" w:rsidRDefault="00453AAE" w:rsidP="002D0E04">
      <w:pPr>
        <w:spacing w:after="0" w:line="240" w:lineRule="auto"/>
        <w:jc w:val="center"/>
        <w:rPr>
          <w:rFonts w:ascii="Arial" w:hAnsi="Arial" w:cs="Arial"/>
          <w:b/>
        </w:rPr>
      </w:pPr>
    </w:p>
    <w:p w14:paraId="06C64B15" w14:textId="003B0EE5" w:rsidR="00453AAE" w:rsidRDefault="00453AAE" w:rsidP="002D0E04">
      <w:pPr>
        <w:spacing w:after="0" w:line="240" w:lineRule="auto"/>
        <w:jc w:val="center"/>
        <w:rPr>
          <w:rFonts w:ascii="Arial" w:hAnsi="Arial" w:cs="Arial"/>
          <w:b/>
        </w:rPr>
      </w:pPr>
    </w:p>
    <w:p w14:paraId="74B70562" w14:textId="2C568886" w:rsidR="00453AAE" w:rsidRDefault="00453AAE" w:rsidP="002D0E04">
      <w:pPr>
        <w:spacing w:after="0" w:line="240" w:lineRule="auto"/>
        <w:jc w:val="center"/>
        <w:rPr>
          <w:rFonts w:ascii="Arial" w:hAnsi="Arial" w:cs="Arial"/>
          <w:b/>
        </w:rPr>
      </w:pPr>
    </w:p>
    <w:p w14:paraId="0EC05194" w14:textId="03064687" w:rsidR="00453AAE" w:rsidRDefault="00453AAE" w:rsidP="002D0E04">
      <w:pPr>
        <w:spacing w:after="0" w:line="240" w:lineRule="auto"/>
        <w:jc w:val="center"/>
        <w:rPr>
          <w:rFonts w:ascii="Arial" w:hAnsi="Arial" w:cs="Arial"/>
          <w:b/>
        </w:rPr>
      </w:pPr>
    </w:p>
    <w:p w14:paraId="22CC5F85" w14:textId="157926D2" w:rsidR="00453AAE" w:rsidRDefault="00453AAE" w:rsidP="002D0E04">
      <w:pPr>
        <w:spacing w:after="0" w:line="240" w:lineRule="auto"/>
        <w:jc w:val="center"/>
        <w:rPr>
          <w:rFonts w:ascii="Arial" w:hAnsi="Arial" w:cs="Arial"/>
          <w:b/>
        </w:rPr>
      </w:pPr>
    </w:p>
    <w:p w14:paraId="63D304ED" w14:textId="3170F29B" w:rsidR="00453AAE" w:rsidRDefault="00453AAE" w:rsidP="002D0E04">
      <w:pPr>
        <w:spacing w:after="0" w:line="240" w:lineRule="auto"/>
        <w:jc w:val="center"/>
        <w:rPr>
          <w:rFonts w:ascii="Arial" w:hAnsi="Arial" w:cs="Arial"/>
          <w:b/>
        </w:rPr>
      </w:pPr>
    </w:p>
    <w:p w14:paraId="5517FD79" w14:textId="1463EAA5" w:rsidR="00453AAE" w:rsidRDefault="00453AAE" w:rsidP="002D0E04">
      <w:pPr>
        <w:spacing w:after="0" w:line="240" w:lineRule="auto"/>
        <w:jc w:val="center"/>
        <w:rPr>
          <w:rFonts w:ascii="Arial" w:hAnsi="Arial" w:cs="Arial"/>
          <w:b/>
        </w:rPr>
      </w:pPr>
    </w:p>
    <w:p w14:paraId="582D6DB1" w14:textId="61D61084" w:rsidR="00453AAE" w:rsidRDefault="00453AAE" w:rsidP="002D0E04">
      <w:pPr>
        <w:spacing w:after="0" w:line="240" w:lineRule="auto"/>
        <w:jc w:val="center"/>
        <w:rPr>
          <w:rFonts w:ascii="Arial" w:hAnsi="Arial" w:cs="Arial"/>
          <w:b/>
        </w:rPr>
      </w:pPr>
    </w:p>
    <w:p w14:paraId="6C448366" w14:textId="1B71CC07" w:rsidR="00453AAE" w:rsidRDefault="00453AAE" w:rsidP="002D0E04">
      <w:pPr>
        <w:spacing w:after="0" w:line="240" w:lineRule="auto"/>
        <w:jc w:val="center"/>
        <w:rPr>
          <w:rFonts w:ascii="Arial" w:hAnsi="Arial" w:cs="Arial"/>
          <w:b/>
        </w:rPr>
      </w:pPr>
    </w:p>
    <w:p w14:paraId="77ACF8A3" w14:textId="41CB8C16" w:rsidR="00453AAE" w:rsidRDefault="00453AAE" w:rsidP="002D0E04">
      <w:pPr>
        <w:spacing w:after="0" w:line="240" w:lineRule="auto"/>
        <w:jc w:val="center"/>
        <w:rPr>
          <w:rFonts w:ascii="Arial" w:hAnsi="Arial" w:cs="Arial"/>
          <w:b/>
        </w:rPr>
      </w:pPr>
    </w:p>
    <w:p w14:paraId="38CA0009" w14:textId="38701D28" w:rsidR="00453AAE" w:rsidRDefault="00453AAE" w:rsidP="002D0E04">
      <w:pPr>
        <w:spacing w:after="0" w:line="240" w:lineRule="auto"/>
        <w:jc w:val="center"/>
        <w:rPr>
          <w:rFonts w:ascii="Arial" w:hAnsi="Arial" w:cs="Arial"/>
          <w:b/>
        </w:rPr>
      </w:pPr>
    </w:p>
    <w:p w14:paraId="401B50BD" w14:textId="72F527E4" w:rsidR="00453AAE" w:rsidRDefault="00453AAE" w:rsidP="002D0E04">
      <w:pPr>
        <w:spacing w:after="0" w:line="240" w:lineRule="auto"/>
        <w:jc w:val="center"/>
        <w:rPr>
          <w:rFonts w:ascii="Arial" w:hAnsi="Arial" w:cs="Arial"/>
          <w:b/>
        </w:rPr>
      </w:pPr>
    </w:p>
    <w:p w14:paraId="42084FBD" w14:textId="53E7CD84" w:rsidR="00453AAE" w:rsidRDefault="00453AAE" w:rsidP="002D0E04">
      <w:pPr>
        <w:spacing w:after="0" w:line="240" w:lineRule="auto"/>
        <w:jc w:val="center"/>
        <w:rPr>
          <w:rFonts w:ascii="Arial" w:hAnsi="Arial" w:cs="Arial"/>
          <w:b/>
        </w:rPr>
      </w:pPr>
    </w:p>
    <w:p w14:paraId="7EC42235" w14:textId="4561429D" w:rsidR="00453AAE" w:rsidRDefault="00453AAE" w:rsidP="002D0E04">
      <w:pPr>
        <w:spacing w:after="0" w:line="240" w:lineRule="auto"/>
        <w:jc w:val="center"/>
        <w:rPr>
          <w:rFonts w:ascii="Arial" w:hAnsi="Arial" w:cs="Arial"/>
          <w:b/>
        </w:rPr>
      </w:pPr>
    </w:p>
    <w:p w14:paraId="3F456883" w14:textId="64C73D82" w:rsidR="00453AAE" w:rsidRDefault="00453AAE" w:rsidP="002D0E04">
      <w:pPr>
        <w:spacing w:after="0" w:line="240" w:lineRule="auto"/>
        <w:jc w:val="center"/>
        <w:rPr>
          <w:rFonts w:ascii="Arial" w:hAnsi="Arial" w:cs="Arial"/>
          <w:b/>
        </w:rPr>
      </w:pPr>
    </w:p>
    <w:p w14:paraId="4A8F8ED9" w14:textId="006806E2" w:rsidR="00453AAE" w:rsidRDefault="00453AAE" w:rsidP="002D0E04">
      <w:pPr>
        <w:spacing w:after="0" w:line="240" w:lineRule="auto"/>
        <w:jc w:val="center"/>
        <w:rPr>
          <w:rFonts w:ascii="Arial" w:hAnsi="Arial" w:cs="Arial"/>
          <w:b/>
        </w:rPr>
      </w:pPr>
    </w:p>
    <w:p w14:paraId="31DCBCBB" w14:textId="7C41275A" w:rsidR="00453AAE" w:rsidRDefault="00453AAE" w:rsidP="002D0E04">
      <w:pPr>
        <w:spacing w:after="0" w:line="240" w:lineRule="auto"/>
        <w:jc w:val="center"/>
        <w:rPr>
          <w:rFonts w:ascii="Arial" w:hAnsi="Arial" w:cs="Arial"/>
          <w:b/>
        </w:rPr>
      </w:pPr>
    </w:p>
    <w:p w14:paraId="6A8F929E" w14:textId="20F89908" w:rsidR="00453AAE" w:rsidRDefault="00453AAE" w:rsidP="002D0E04">
      <w:pPr>
        <w:spacing w:after="0" w:line="240" w:lineRule="auto"/>
        <w:jc w:val="center"/>
        <w:rPr>
          <w:rFonts w:ascii="Arial" w:hAnsi="Arial" w:cs="Arial"/>
          <w:b/>
        </w:rPr>
      </w:pPr>
    </w:p>
    <w:p w14:paraId="7C139561" w14:textId="77777777" w:rsidR="00453AAE" w:rsidRDefault="00453AAE" w:rsidP="002D0E04">
      <w:pPr>
        <w:spacing w:after="0" w:line="240" w:lineRule="auto"/>
        <w:jc w:val="center"/>
        <w:rPr>
          <w:rFonts w:ascii="Arial" w:hAnsi="Arial" w:cs="Arial"/>
          <w:b/>
        </w:rPr>
      </w:pPr>
    </w:p>
    <w:p w14:paraId="22A94D13" w14:textId="108CDB50" w:rsidR="00B350E5" w:rsidRDefault="00B350E5" w:rsidP="002D0E04">
      <w:pPr>
        <w:spacing w:after="0" w:line="240" w:lineRule="auto"/>
        <w:jc w:val="center"/>
        <w:rPr>
          <w:rFonts w:ascii="Arial" w:hAnsi="Arial" w:cs="Arial"/>
        </w:rPr>
      </w:pPr>
      <w:r>
        <w:rPr>
          <w:rFonts w:ascii="Arial" w:hAnsi="Arial" w:cs="Arial"/>
          <w:b/>
        </w:rPr>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r>
        <w:rPr>
          <w:noProof/>
          <w:lang w:eastAsia="es-MX"/>
        </w:rPr>
        <w:drawing>
          <wp:inline distT="0" distB="0" distL="0" distR="0" wp14:anchorId="25A940BF" wp14:editId="6925B434">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480310"/>
                    </a:xfrm>
                    <a:prstGeom prst="rect">
                      <a:avLst/>
                    </a:prstGeom>
                  </pic:spPr>
                </pic:pic>
              </a:graphicData>
            </a:graphic>
          </wp:inline>
        </w:drawing>
      </w:r>
    </w:p>
    <w:p w14:paraId="53FE9B1B"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69914667" w14:textId="77777777" w:rsidR="00B350E5" w:rsidRDefault="00B350E5" w:rsidP="00B350E5">
      <w:pPr>
        <w:spacing w:after="0" w:line="360" w:lineRule="auto"/>
        <w:jc w:val="both"/>
        <w:rPr>
          <w:rFonts w:ascii="Arial" w:hAnsi="Arial" w:cs="Arial"/>
        </w:rPr>
      </w:pPr>
    </w:p>
    <w:p w14:paraId="0546D755" w14:textId="77777777" w:rsidR="00B350E5" w:rsidRPr="003D1C94" w:rsidRDefault="00B350E5" w:rsidP="00B350E5">
      <w:pPr>
        <w:spacing w:after="0" w:line="360" w:lineRule="auto"/>
        <w:jc w:val="center"/>
        <w:rPr>
          <w:rFonts w:ascii="Arial" w:hAnsi="Arial" w:cs="Arial"/>
          <w:b/>
        </w:rPr>
      </w:pPr>
      <w:r>
        <w:rPr>
          <w:rFonts w:ascii="Arial" w:hAnsi="Arial" w:cs="Arial"/>
          <w:b/>
        </w:rPr>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14:paraId="09BF794D" w14:textId="77777777" w:rsidR="00B350E5" w:rsidRDefault="00B350E5" w:rsidP="00B350E5">
      <w:pPr>
        <w:spacing w:after="0" w:line="360" w:lineRule="auto"/>
        <w:jc w:val="both"/>
        <w:rPr>
          <w:rFonts w:ascii="Arial" w:hAnsi="Arial" w:cs="Arial"/>
        </w:rPr>
      </w:pPr>
      <w:r>
        <w:rPr>
          <w:noProof/>
          <w:lang w:eastAsia="es-MX"/>
        </w:rPr>
        <w:drawing>
          <wp:inline distT="0" distB="0" distL="0" distR="0" wp14:anchorId="667F2068" wp14:editId="360B16BD">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442210"/>
                    </a:xfrm>
                    <a:prstGeom prst="rect">
                      <a:avLst/>
                    </a:prstGeom>
                  </pic:spPr>
                </pic:pic>
              </a:graphicData>
            </a:graphic>
          </wp:inline>
        </w:drawing>
      </w:r>
    </w:p>
    <w:p w14:paraId="119D32E7"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56B676AC" w14:textId="6C68A3B7" w:rsidR="00B350E5" w:rsidRDefault="00B350E5" w:rsidP="00B350E5">
      <w:pPr>
        <w:spacing w:after="0" w:line="360" w:lineRule="auto"/>
        <w:jc w:val="center"/>
        <w:rPr>
          <w:rFonts w:ascii="Arial" w:hAnsi="Arial" w:cs="Arial"/>
          <w:b/>
        </w:rPr>
      </w:pPr>
    </w:p>
    <w:p w14:paraId="055D8FFB" w14:textId="1656A366" w:rsidR="00453AAE" w:rsidRDefault="00453AAE" w:rsidP="00B350E5">
      <w:pPr>
        <w:spacing w:after="0" w:line="360" w:lineRule="auto"/>
        <w:jc w:val="center"/>
        <w:rPr>
          <w:rFonts w:ascii="Arial" w:hAnsi="Arial" w:cs="Arial"/>
          <w:b/>
        </w:rPr>
      </w:pPr>
    </w:p>
    <w:p w14:paraId="14C74EF5" w14:textId="77777777" w:rsidR="00453AAE" w:rsidRDefault="00453AAE" w:rsidP="00B350E5">
      <w:pPr>
        <w:spacing w:after="0" w:line="360" w:lineRule="auto"/>
        <w:jc w:val="center"/>
        <w:rPr>
          <w:rFonts w:ascii="Arial" w:hAnsi="Arial" w:cs="Arial"/>
          <w:b/>
        </w:rPr>
      </w:pPr>
    </w:p>
    <w:p w14:paraId="6E6C7B07" w14:textId="52B8C0D7" w:rsidR="00453AAE" w:rsidRDefault="00453AAE" w:rsidP="00B350E5">
      <w:pPr>
        <w:spacing w:after="0" w:line="360" w:lineRule="auto"/>
        <w:jc w:val="center"/>
        <w:rPr>
          <w:rFonts w:ascii="Arial" w:hAnsi="Arial" w:cs="Arial"/>
          <w:b/>
        </w:rPr>
      </w:pPr>
    </w:p>
    <w:p w14:paraId="14CAD758" w14:textId="44B3F946" w:rsidR="00453AAE" w:rsidRDefault="00453AAE" w:rsidP="00B350E5">
      <w:pPr>
        <w:spacing w:after="0" w:line="360" w:lineRule="auto"/>
        <w:jc w:val="center"/>
        <w:rPr>
          <w:rFonts w:ascii="Arial" w:hAnsi="Arial" w:cs="Arial"/>
          <w:b/>
        </w:rPr>
      </w:pPr>
    </w:p>
    <w:p w14:paraId="476ED602" w14:textId="77777777" w:rsidR="00453AAE" w:rsidRDefault="00453AAE" w:rsidP="00B350E5">
      <w:pPr>
        <w:spacing w:after="0" w:line="360" w:lineRule="auto"/>
        <w:jc w:val="center"/>
        <w:rPr>
          <w:rFonts w:ascii="Arial" w:hAnsi="Arial" w:cs="Arial"/>
          <w:b/>
        </w:rPr>
      </w:pPr>
    </w:p>
    <w:p w14:paraId="30F38B83" w14:textId="77777777" w:rsidR="002D0E04" w:rsidRDefault="002D0E04" w:rsidP="00B350E5">
      <w:pPr>
        <w:spacing w:after="0" w:line="360" w:lineRule="auto"/>
        <w:jc w:val="center"/>
        <w:rPr>
          <w:rFonts w:ascii="Arial" w:hAnsi="Arial" w:cs="Arial"/>
          <w:b/>
        </w:rPr>
      </w:pPr>
    </w:p>
    <w:p w14:paraId="0A3BF111" w14:textId="77777777" w:rsidR="00B350E5" w:rsidRPr="003D1C94" w:rsidRDefault="00B350E5" w:rsidP="00B350E5">
      <w:pPr>
        <w:spacing w:after="0" w:line="360" w:lineRule="auto"/>
        <w:jc w:val="center"/>
        <w:rPr>
          <w:rFonts w:ascii="Arial" w:hAnsi="Arial" w:cs="Arial"/>
          <w:b/>
        </w:rPr>
      </w:pPr>
      <w:r>
        <w:rPr>
          <w:rFonts w:ascii="Arial" w:hAnsi="Arial" w:cs="Arial"/>
          <w:b/>
        </w:rPr>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14:paraId="389BCFCD" w14:textId="77777777" w:rsidR="00B350E5" w:rsidRDefault="00B350E5" w:rsidP="00B350E5">
      <w:pPr>
        <w:spacing w:after="0" w:line="360" w:lineRule="auto"/>
        <w:jc w:val="both"/>
        <w:rPr>
          <w:rFonts w:ascii="Arial" w:hAnsi="Arial" w:cs="Arial"/>
        </w:rPr>
      </w:pPr>
      <w:r>
        <w:rPr>
          <w:noProof/>
          <w:lang w:eastAsia="es-MX"/>
        </w:rPr>
        <w:drawing>
          <wp:inline distT="0" distB="0" distL="0" distR="0" wp14:anchorId="62742C25" wp14:editId="1DCE7F54">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12130" cy="2343150"/>
                    </a:xfrm>
                    <a:prstGeom prst="rect">
                      <a:avLst/>
                    </a:prstGeom>
                  </pic:spPr>
                </pic:pic>
              </a:graphicData>
            </a:graphic>
          </wp:inline>
        </w:drawing>
      </w:r>
    </w:p>
    <w:p w14:paraId="4C7FAEE8"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5965E667" w14:textId="77777777" w:rsidR="00B350E5" w:rsidRDefault="00B350E5" w:rsidP="00B350E5">
      <w:pPr>
        <w:spacing w:line="360" w:lineRule="auto"/>
        <w:jc w:val="both"/>
        <w:rPr>
          <w:rFonts w:ascii="Arial" w:hAnsi="Arial" w:cs="Arial"/>
        </w:rPr>
      </w:pPr>
    </w:p>
    <w:p w14:paraId="3544DB61" w14:textId="77777777" w:rsidR="002D0E04" w:rsidRDefault="002D0E04" w:rsidP="00B350E5">
      <w:pPr>
        <w:spacing w:after="0" w:line="360" w:lineRule="auto"/>
        <w:jc w:val="center"/>
        <w:rPr>
          <w:rFonts w:ascii="Arial" w:hAnsi="Arial" w:cs="Arial"/>
          <w:b/>
        </w:rPr>
      </w:pPr>
    </w:p>
    <w:p w14:paraId="2DA0E989" w14:textId="77777777" w:rsidR="002D0E04" w:rsidRDefault="002D0E04" w:rsidP="00B350E5">
      <w:pPr>
        <w:spacing w:after="0" w:line="360" w:lineRule="auto"/>
        <w:jc w:val="center"/>
        <w:rPr>
          <w:rFonts w:ascii="Arial" w:hAnsi="Arial" w:cs="Arial"/>
          <w:b/>
        </w:rPr>
      </w:pPr>
    </w:p>
    <w:p w14:paraId="112C09AF" w14:textId="77777777" w:rsidR="002D0E04" w:rsidRDefault="002D0E04" w:rsidP="00B350E5">
      <w:pPr>
        <w:spacing w:after="0" w:line="360" w:lineRule="auto"/>
        <w:jc w:val="center"/>
        <w:rPr>
          <w:rFonts w:ascii="Arial" w:hAnsi="Arial" w:cs="Arial"/>
          <w:b/>
        </w:rPr>
      </w:pPr>
    </w:p>
    <w:p w14:paraId="617C3B0A" w14:textId="77777777" w:rsidR="002D0E04" w:rsidRDefault="002D0E04" w:rsidP="00B350E5">
      <w:pPr>
        <w:spacing w:after="0" w:line="360" w:lineRule="auto"/>
        <w:jc w:val="center"/>
        <w:rPr>
          <w:rFonts w:ascii="Arial" w:hAnsi="Arial" w:cs="Arial"/>
          <w:b/>
        </w:rPr>
      </w:pPr>
    </w:p>
    <w:p w14:paraId="75F1DEDF" w14:textId="77777777" w:rsidR="002D0E04" w:rsidRDefault="002D0E04" w:rsidP="00B350E5">
      <w:pPr>
        <w:spacing w:after="0" w:line="360" w:lineRule="auto"/>
        <w:jc w:val="center"/>
        <w:rPr>
          <w:rFonts w:ascii="Arial" w:hAnsi="Arial" w:cs="Arial"/>
          <w:b/>
        </w:rPr>
      </w:pPr>
    </w:p>
    <w:p w14:paraId="5B0014F6" w14:textId="77777777" w:rsidR="00B350E5" w:rsidRPr="003D1C94" w:rsidRDefault="00B350E5" w:rsidP="00B350E5">
      <w:pPr>
        <w:spacing w:after="0" w:line="360" w:lineRule="auto"/>
        <w:jc w:val="center"/>
        <w:rPr>
          <w:rFonts w:ascii="Arial" w:hAnsi="Arial" w:cs="Arial"/>
          <w:b/>
        </w:rPr>
      </w:pPr>
      <w:r>
        <w:rPr>
          <w:rFonts w:ascii="Arial" w:hAnsi="Arial" w:cs="Arial"/>
          <w:b/>
        </w:rPr>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14:paraId="2D30F643" w14:textId="77777777" w:rsidR="00B350E5" w:rsidRDefault="00B350E5" w:rsidP="00B350E5">
      <w:pPr>
        <w:spacing w:after="0" w:line="360" w:lineRule="auto"/>
        <w:jc w:val="both"/>
        <w:rPr>
          <w:rFonts w:ascii="Arial" w:hAnsi="Arial" w:cs="Arial"/>
        </w:rPr>
      </w:pPr>
      <w:r>
        <w:rPr>
          <w:noProof/>
          <w:lang w:eastAsia="es-MX"/>
        </w:rPr>
        <w:drawing>
          <wp:inline distT="0" distB="0" distL="0" distR="0" wp14:anchorId="15F784F9" wp14:editId="53B4F48F">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2130" cy="2334895"/>
                    </a:xfrm>
                    <a:prstGeom prst="rect">
                      <a:avLst/>
                    </a:prstGeom>
                  </pic:spPr>
                </pic:pic>
              </a:graphicData>
            </a:graphic>
          </wp:inline>
        </w:drawing>
      </w:r>
    </w:p>
    <w:p w14:paraId="4A643A76" w14:textId="77777777"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14:paraId="02239DB5" w14:textId="77777777" w:rsidR="00B350E5" w:rsidRDefault="00B350E5" w:rsidP="00B350E5">
      <w:pPr>
        <w:spacing w:line="360" w:lineRule="auto"/>
        <w:jc w:val="both"/>
        <w:rPr>
          <w:rFonts w:ascii="Arial" w:hAnsi="Arial" w:cs="Arial"/>
        </w:rPr>
      </w:pPr>
    </w:p>
    <w:p w14:paraId="2B65DE41" w14:textId="77777777" w:rsidR="00B350E5" w:rsidRPr="005B6CA1" w:rsidRDefault="00B350E5" w:rsidP="00B350E5">
      <w:pPr>
        <w:spacing w:line="360" w:lineRule="auto"/>
        <w:jc w:val="both"/>
        <w:rPr>
          <w:rFonts w:ascii="Arial" w:hAnsi="Arial" w:cs="Arial"/>
        </w:rPr>
      </w:pPr>
      <w:r w:rsidRPr="005B6CA1">
        <w:rPr>
          <w:rFonts w:ascii="Arial" w:hAnsi="Arial" w:cs="Arial"/>
        </w:rPr>
        <w:lastRenderedPageBreak/>
        <w:t>A partir de lo anterior, se puede afirmar que en México el perfil de salud de la población se caracteriza por el predominio de enfermedades crónicas no transmisibles, las cuales se caracterizan por ser prolongadas, discapacitantes y muchas veces coincidentes con otras de menor a mayor gravedad, aunado a la complejidad y costo elevado de sus 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14:paraId="7E0C319D" w14:textId="77777777" w:rsidR="00B350E5" w:rsidRPr="005B6CA1" w:rsidRDefault="00B350E5" w:rsidP="00B350E5">
      <w:pPr>
        <w:spacing w:line="360" w:lineRule="auto"/>
        <w:jc w:val="both"/>
        <w:rPr>
          <w:rFonts w:ascii="Arial" w:hAnsi="Arial" w:cs="Arial"/>
        </w:rPr>
      </w:pPr>
      <w:r w:rsidRPr="005B6CA1">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14:paraId="34D84840" w14:textId="5876A3DD" w:rsidR="00B350E5" w:rsidRDefault="00B350E5" w:rsidP="00B350E5">
      <w:pPr>
        <w:spacing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w:t>
      </w:r>
      <w:r w:rsidRPr="005B6CA1">
        <w:rPr>
          <w:rFonts w:ascii="Arial" w:hAnsi="Arial" w:cs="Arial"/>
        </w:rPr>
        <w:lastRenderedPageBreak/>
        <w:t xml:space="preserve">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principales causa</w:t>
      </w:r>
      <w:r w:rsidR="00453AAE">
        <w:rPr>
          <w:rFonts w:ascii="Arial" w:hAnsi="Arial" w:cs="Arial"/>
        </w:rPr>
        <w:t>s</w:t>
      </w:r>
      <w:r w:rsidRPr="005B6CA1">
        <w:rPr>
          <w:rFonts w:ascii="Arial" w:hAnsi="Arial" w:cs="Arial"/>
        </w:rPr>
        <w:t xml:space="preserve"> de AVISA en la población mexicana, generalmente, éstos son inducidos por múltiples problemas crónicos de salud.</w:t>
      </w:r>
    </w:p>
    <w:p w14:paraId="68588E99" w14:textId="77777777" w:rsidR="00B350E5" w:rsidRPr="005968A3" w:rsidRDefault="00B350E5" w:rsidP="00B350E5">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B350E5" w:rsidRPr="005B6CA1" w14:paraId="667695DE" w14:textId="77777777" w:rsidTr="007F2637">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14:paraId="28636B22" w14:textId="77777777" w:rsidR="00B350E5" w:rsidRPr="005B6CA1" w:rsidRDefault="00B350E5" w:rsidP="007F2637">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14:paraId="0911D23E"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14:paraId="0BBB54AA"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14:paraId="2CABC3D1"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14:paraId="5483FC65" w14:textId="77777777"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B350E5" w:rsidRPr="005B6CA1" w14:paraId="50FD331D"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E60440E"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14:paraId="7E1FC83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14:paraId="244FEA6D"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14:paraId="28E11D5C"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14:paraId="5F300A04"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B350E5" w:rsidRPr="005B6CA1" w14:paraId="6410CA0B"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1C9EBC73"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14:paraId="10B0443F"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14:paraId="5536EEC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14:paraId="3772B2C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14:paraId="4641C43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B350E5" w:rsidRPr="005B6CA1" w14:paraId="06205471"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7323E8F3"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14:paraId="43ACB42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14:paraId="53872796"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14:paraId="030677E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14:paraId="2A331E5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B350E5" w:rsidRPr="005B6CA1" w14:paraId="46D2EF2C"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1543331"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14:paraId="363CA4DC"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14:paraId="4F8D5F6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14:paraId="7D916680"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14:paraId="4E164146"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B350E5" w:rsidRPr="005B6CA1" w14:paraId="2F3AE87B"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52E5589"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14:paraId="7D94277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musculo esqueléticos</w:t>
            </w:r>
          </w:p>
        </w:tc>
        <w:tc>
          <w:tcPr>
            <w:tcW w:w="1153" w:type="dxa"/>
            <w:noWrap/>
            <w:hideMark/>
          </w:tcPr>
          <w:p w14:paraId="37BB9B29"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387,856 </w:t>
            </w:r>
          </w:p>
        </w:tc>
        <w:tc>
          <w:tcPr>
            <w:tcW w:w="3060" w:type="dxa"/>
            <w:noWrap/>
            <w:hideMark/>
          </w:tcPr>
          <w:p w14:paraId="333C48F0"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14:paraId="2AC6FF3F"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796,489 </w:t>
            </w:r>
          </w:p>
        </w:tc>
      </w:tr>
      <w:tr w:rsidR="00B350E5" w:rsidRPr="005B6CA1" w14:paraId="7A21D107"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01F5934D"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6</w:t>
            </w:r>
          </w:p>
        </w:tc>
        <w:tc>
          <w:tcPr>
            <w:tcW w:w="2349" w:type="dxa"/>
            <w:noWrap/>
            <w:hideMark/>
          </w:tcPr>
          <w:p w14:paraId="45209191"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14:paraId="0D7D420C"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14:paraId="195B6CB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14:paraId="6366CF0B"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B350E5" w:rsidRPr="005B6CA1" w14:paraId="373104F6"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7E5CF94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14:paraId="4FD4A6E9"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14:paraId="2C140B7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14:paraId="1807BCE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14:paraId="7BE5BA8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B350E5" w:rsidRPr="005B6CA1" w14:paraId="4FE90CC0"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E983565"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14:paraId="60455056"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14:paraId="5E27DBC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14:paraId="3A26D6F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14:paraId="7F1125EE"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B350E5" w:rsidRPr="005B6CA1" w14:paraId="0A417D1D"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3A9B142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14:paraId="6A61771B"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14:paraId="38233D9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14:paraId="3AFDE00F"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14:paraId="3889670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B350E5" w:rsidRPr="005B6CA1" w14:paraId="5DB4253D"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0D697CA8"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14:paraId="22DFF893"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14:paraId="054FD415"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14:paraId="6287D157"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14:paraId="0F76DAC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B350E5" w:rsidRPr="005B6CA1" w14:paraId="3A75AC25"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305754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14:paraId="637199CE"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14:paraId="182672B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14:paraId="160AB7A3"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14:paraId="343398B2"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B350E5" w:rsidRPr="005B6CA1" w14:paraId="06448D01"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4F59EC38"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14:paraId="47C805F2"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14:paraId="5F98FA71"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14:paraId="0ACC9F9D"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14:paraId="6714065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B350E5" w:rsidRPr="005B6CA1" w14:paraId="4F891B14"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0EE21ED5"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14:paraId="13C57F17"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14:paraId="1AA94131"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14:paraId="6A36B23D"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14:paraId="4F60CC44"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B350E5" w:rsidRPr="005B6CA1" w14:paraId="1A58E431"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59E0A7F4"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14</w:t>
            </w:r>
          </w:p>
        </w:tc>
        <w:tc>
          <w:tcPr>
            <w:tcW w:w="2349" w:type="dxa"/>
            <w:noWrap/>
            <w:hideMark/>
          </w:tcPr>
          <w:p w14:paraId="1A9825BE"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14:paraId="59ECA54A"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14:paraId="668DFBB8"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14:paraId="6FFEBB00"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B350E5" w:rsidRPr="005B6CA1" w14:paraId="09F64DB2"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5F36E292"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14:paraId="579EF2C6"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14:paraId="07D479D0"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14:paraId="7D51D8E8"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14:paraId="47FB2CE6"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B350E5" w:rsidRPr="005B6CA1" w14:paraId="618EA7BA"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490F6CD9"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14:paraId="6FCF89BC"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14:paraId="07E3E763"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14:paraId="4D307EA1"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14:paraId="5876D322"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B350E5" w:rsidRPr="005B6CA1" w14:paraId="77666BFF"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38C56562"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17</w:t>
            </w:r>
          </w:p>
        </w:tc>
        <w:tc>
          <w:tcPr>
            <w:tcW w:w="2349" w:type="dxa"/>
            <w:noWrap/>
            <w:hideMark/>
          </w:tcPr>
          <w:p w14:paraId="07CF4024"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14:paraId="34DC48E5"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14:paraId="01E54C4A"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14:paraId="54AC7737"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B350E5" w:rsidRPr="005B6CA1" w14:paraId="3BB5064C"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F49FF83"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14:paraId="44DC116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14:paraId="49940A23"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14:paraId="4F55AE44"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14:paraId="250B4078"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B350E5" w:rsidRPr="005B6CA1" w14:paraId="1A37B0E3" w14:textId="77777777"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2ABF6F1F"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14:paraId="0D16C61E"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Diarreicas</w:t>
            </w:r>
          </w:p>
        </w:tc>
        <w:tc>
          <w:tcPr>
            <w:tcW w:w="1153" w:type="dxa"/>
            <w:noWrap/>
            <w:hideMark/>
          </w:tcPr>
          <w:p w14:paraId="3DBB15CF"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14:paraId="4D4086C8"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14:paraId="3F7F85AA" w14:textId="77777777"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B350E5" w:rsidRPr="005B6CA1" w14:paraId="39C68485" w14:textId="77777777"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14:paraId="6589BE0B" w14:textId="77777777"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14:paraId="704C9412"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14:paraId="44D95BD8"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14:paraId="61A5371F"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14:paraId="1A408F4F" w14:textId="77777777"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14:paraId="0FD6AC59" w14:textId="1D3F6CE8" w:rsidR="00B350E5" w:rsidRPr="00FD4BFF" w:rsidRDefault="00FC657C" w:rsidP="00B350E5">
      <w:pPr>
        <w:spacing w:line="360" w:lineRule="auto"/>
        <w:ind w:firstLine="708"/>
        <w:jc w:val="both"/>
        <w:rPr>
          <w:rFonts w:ascii="Arial" w:hAnsi="Arial" w:cs="Arial"/>
          <w:sz w:val="18"/>
        </w:rPr>
      </w:pPr>
      <w:r>
        <w:rPr>
          <w:rFonts w:ascii="Arial" w:hAnsi="Arial" w:cs="Arial"/>
          <w:b/>
          <w:sz w:val="18"/>
        </w:rPr>
        <w:t xml:space="preserve">                          </w:t>
      </w:r>
      <w:r w:rsidR="00B350E5" w:rsidRPr="00FD4BFF">
        <w:rPr>
          <w:rFonts w:ascii="Arial" w:hAnsi="Arial" w:cs="Arial"/>
          <w:b/>
          <w:sz w:val="18"/>
        </w:rPr>
        <w:t>Fuente:</w:t>
      </w:r>
      <w:r w:rsidR="00B350E5" w:rsidRPr="00FD4BFF">
        <w:rPr>
          <w:rFonts w:ascii="Arial" w:hAnsi="Arial" w:cs="Arial"/>
          <w:sz w:val="18"/>
        </w:rPr>
        <w:t xml:space="preserve"> Elaboración propia con base en Lozano </w:t>
      </w:r>
      <w:r w:rsidR="00B350E5" w:rsidRPr="00FD4BFF">
        <w:rPr>
          <w:rFonts w:ascii="Arial" w:hAnsi="Arial" w:cs="Arial"/>
          <w:i/>
          <w:sz w:val="18"/>
        </w:rPr>
        <w:t>et al.</w:t>
      </w:r>
      <w:r w:rsidR="00B350E5" w:rsidRPr="00FD4BFF">
        <w:rPr>
          <w:rFonts w:ascii="Arial" w:hAnsi="Arial" w:cs="Arial"/>
          <w:sz w:val="18"/>
        </w:rPr>
        <w:t xml:space="preserve"> (2013).</w:t>
      </w:r>
    </w:p>
    <w:p w14:paraId="399E977E" w14:textId="3E6E97EB" w:rsidR="00B350E5" w:rsidRDefault="00B350E5" w:rsidP="00B350E5">
      <w:pPr>
        <w:spacing w:line="360" w:lineRule="auto"/>
        <w:jc w:val="both"/>
        <w:rPr>
          <w:rFonts w:ascii="Arial" w:hAnsi="Arial" w:cs="Arial"/>
        </w:rPr>
      </w:pPr>
      <w:r w:rsidRPr="005B6CA1">
        <w:rPr>
          <w:rFonts w:ascii="Arial" w:hAnsi="Arial" w:cs="Arial"/>
        </w:rPr>
        <w:t>Para poder entender aún más la dinámica las condiciones de salud de la población, es necesario tomar en cuenta</w:t>
      </w:r>
      <w:r w:rsidR="00FC657C">
        <w:rPr>
          <w:rFonts w:ascii="Arial" w:hAnsi="Arial" w:cs="Arial"/>
        </w:rPr>
        <w:t xml:space="preserve"> los factores </w:t>
      </w:r>
      <w:r w:rsidRPr="005B6CA1">
        <w:rPr>
          <w:rFonts w:ascii="Arial" w:hAnsi="Arial" w:cs="Arial"/>
        </w:rPr>
        <w:t>de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14:paraId="1426895A" w14:textId="77777777" w:rsidR="00B350E5" w:rsidRDefault="006046FB" w:rsidP="00B350E5">
      <w:pPr>
        <w:spacing w:line="360" w:lineRule="auto"/>
        <w:jc w:val="both"/>
        <w:rPr>
          <w:rFonts w:ascii="Arial" w:hAnsi="Arial" w:cs="Arial"/>
          <w:b/>
        </w:rPr>
      </w:pPr>
      <w:r>
        <w:rPr>
          <w:rFonts w:ascii="Arial" w:hAnsi="Arial" w:cs="Arial"/>
          <w:b/>
        </w:rPr>
        <w:t>2</w:t>
      </w:r>
      <w:r w:rsidR="005B44CA">
        <w:rPr>
          <w:rFonts w:ascii="Arial" w:hAnsi="Arial" w:cs="Arial"/>
          <w:b/>
        </w:rPr>
        <w:t>.4.</w:t>
      </w:r>
      <w:r w:rsidR="00B350E5" w:rsidRPr="005B6CA1">
        <w:rPr>
          <w:rFonts w:ascii="Arial" w:hAnsi="Arial" w:cs="Arial"/>
          <w:b/>
        </w:rPr>
        <w:t xml:space="preserve"> </w:t>
      </w:r>
      <w:r w:rsidR="00B350E5">
        <w:rPr>
          <w:rFonts w:ascii="Arial" w:hAnsi="Arial" w:cs="Arial"/>
          <w:b/>
        </w:rPr>
        <w:t>MORTALIDAD</w:t>
      </w:r>
      <w:r w:rsidR="00B350E5" w:rsidRPr="005B6CA1">
        <w:rPr>
          <w:rFonts w:ascii="Arial" w:hAnsi="Arial" w:cs="Arial"/>
          <w:b/>
        </w:rPr>
        <w:t xml:space="preserve"> </w:t>
      </w:r>
    </w:p>
    <w:p w14:paraId="25700D9A" w14:textId="77777777" w:rsidR="00B350E5" w:rsidRPr="005B6CA1" w:rsidRDefault="00B350E5" w:rsidP="00B350E5">
      <w:pPr>
        <w:spacing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14:paraId="56C6807F" w14:textId="77777777" w:rsidR="00B350E5" w:rsidRPr="005B6CA1" w:rsidRDefault="00B350E5" w:rsidP="00B350E5">
      <w:pPr>
        <w:spacing w:line="360" w:lineRule="auto"/>
        <w:jc w:val="both"/>
        <w:rPr>
          <w:rFonts w:ascii="Arial" w:hAnsi="Arial" w:cs="Arial"/>
        </w:rPr>
      </w:pPr>
      <w:r w:rsidRPr="005B6CA1">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w:t>
      </w:r>
      <w:r w:rsidRPr="005B6CA1">
        <w:rPr>
          <w:rFonts w:ascii="Arial" w:hAnsi="Arial" w:cs="Arial"/>
        </w:rPr>
        <w:lastRenderedPageBreak/>
        <w:t>infectocontagiosos han perdido el predominio que tenían en el pasado, aún mantienen un 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14:paraId="183C60C8" w14:textId="5AA66A8E" w:rsidR="00B350E5" w:rsidRPr="005B6CA1" w:rsidRDefault="00B350E5" w:rsidP="00B350E5">
      <w:pPr>
        <w:spacing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w:t>
      </w:r>
      <w:r w:rsidR="00FC657C">
        <w:rPr>
          <w:rFonts w:ascii="Arial" w:hAnsi="Arial" w:cs="Arial"/>
        </w:rPr>
        <w:t xml:space="preserve">s de transporte, lesiones auto </w:t>
      </w:r>
      <w:r w:rsidRPr="005B6CA1">
        <w:rPr>
          <w:rFonts w:ascii="Arial" w:hAnsi="Arial" w:cs="Arial"/>
        </w:rPr>
        <w:t>infligidas intencionalmente y demás causas externas. Asimismo, en este grupo etario la tendencia de la sobre</w:t>
      </w:r>
      <w:r w:rsidR="00FC657C">
        <w:rPr>
          <w:rFonts w:ascii="Arial" w:hAnsi="Arial" w:cs="Arial"/>
        </w:rPr>
        <w:t xml:space="preserve"> </w:t>
      </w:r>
      <w:r w:rsidRPr="005B6CA1">
        <w:rPr>
          <w:rFonts w:ascii="Arial" w:hAnsi="Arial" w:cs="Arial"/>
        </w:rPr>
        <w:t xml:space="preserve">mortalidad masculina se hace aún más evidente; por ejemplo, la primera causa de muerte para esta población son agresiones, pero la tasa de los hombres es 5.53 defunciones por cada 10,000, en cambio, el indicador de mujeres es de tan sólo de 0.74 </w:t>
      </w:r>
      <w:r w:rsidRPr="005B6CA1">
        <w:rPr>
          <w:rStyle w:val="Refdenotaalpie"/>
          <w:rFonts w:ascii="Arial" w:hAnsi="Arial" w:cs="Arial"/>
        </w:rPr>
        <w:footnoteReference w:id="30"/>
      </w:r>
      <w:r w:rsidRPr="005B6CA1">
        <w:rPr>
          <w:rFonts w:ascii="Arial" w:hAnsi="Arial" w:cs="Arial"/>
        </w:rPr>
        <w:t xml:space="preserve">.  </w:t>
      </w:r>
    </w:p>
    <w:p w14:paraId="5F59878F" w14:textId="4A1C51B8" w:rsidR="00B350E5" w:rsidRPr="005B6CA1" w:rsidRDefault="00B350E5" w:rsidP="00B350E5">
      <w:pPr>
        <w:spacing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las ECNT comienzan a tomar importancia en el esquema de la mortalidad de la población mexicana, las cuales se conjugan con las causas externas. Específicamente, los hombres tienen un exceso de mortalidad, y por causas, las agresiones</w:t>
      </w:r>
      <w:r w:rsidR="00FC657C">
        <w:rPr>
          <w:rFonts w:ascii="Arial" w:hAnsi="Arial" w:cs="Arial"/>
        </w:rPr>
        <w:t xml:space="preserve"> representan la primer </w:t>
      </w:r>
      <w:r w:rsidRPr="005B6CA1">
        <w:rPr>
          <w:rFonts w:ascii="Arial" w:hAnsi="Arial" w:cs="Arial"/>
        </w:rPr>
        <w:t xml:space="preserve">causa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w:t>
      </w:r>
      <w:r w:rsidRPr="005B6CA1">
        <w:rPr>
          <w:rFonts w:ascii="Arial" w:hAnsi="Arial" w:cs="Arial"/>
        </w:rPr>
        <w:lastRenderedPageBreak/>
        <w:t>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14:paraId="08B26DEA" w14:textId="77777777" w:rsidR="00B350E5" w:rsidRPr="005B6CA1" w:rsidRDefault="00B350E5" w:rsidP="00B350E5">
      <w:pPr>
        <w:spacing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14:paraId="402F723D" w14:textId="1A2F1D7B" w:rsidR="00B350E5" w:rsidRDefault="00B350E5" w:rsidP="002D0E04">
      <w:pPr>
        <w:spacing w:line="360" w:lineRule="auto"/>
        <w:jc w:val="both"/>
        <w:rPr>
          <w:rFonts w:ascii="Arial" w:hAnsi="Arial" w:cs="Arial"/>
        </w:rPr>
      </w:pPr>
      <w:r w:rsidRPr="005B6CA1">
        <w:rPr>
          <w:rFonts w:ascii="Arial" w:hAnsi="Arial" w:cs="Arial"/>
        </w:rPr>
        <w:t>Finalmente, la población más envejecida (75 y más años, la cuarta edad</w:t>
      </w:r>
      <w:r>
        <w:rPr>
          <w:rFonts w:ascii="Arial" w:hAnsi="Arial" w:cs="Arial"/>
        </w:rPr>
        <w:t>, Cuadro 1.2 y 2.2</w:t>
      </w:r>
      <w:r w:rsidRPr="005B6CA1">
        <w:rPr>
          <w:rFonts w:ascii="Arial" w:hAnsi="Arial" w:cs="Arial"/>
        </w:rPr>
        <w:t>), las enfermedades isquémicas del corazón son la primer causa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No obstante, en vistas de transcender la perspectiva homogénea en las edades avanzadas, en este grupo etario subyace una propia estructura de mortalidad debido, principalmente, a que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14:paraId="1C8AC1F1" w14:textId="4085779E" w:rsidR="00FC657C" w:rsidRDefault="00FC657C" w:rsidP="002D0E04">
      <w:pPr>
        <w:spacing w:line="360" w:lineRule="auto"/>
        <w:jc w:val="both"/>
        <w:rPr>
          <w:rFonts w:ascii="Arial" w:hAnsi="Arial" w:cs="Arial"/>
        </w:rPr>
      </w:pPr>
    </w:p>
    <w:p w14:paraId="5B4AC47C" w14:textId="5E60ABF3" w:rsidR="00FC657C" w:rsidRDefault="00FC657C" w:rsidP="002D0E04">
      <w:pPr>
        <w:spacing w:line="360" w:lineRule="auto"/>
        <w:jc w:val="both"/>
        <w:rPr>
          <w:rFonts w:ascii="Arial" w:hAnsi="Arial" w:cs="Arial"/>
        </w:rPr>
      </w:pPr>
    </w:p>
    <w:p w14:paraId="773E6BE4" w14:textId="217CAA92" w:rsidR="00B350E5" w:rsidRPr="00FC657C" w:rsidRDefault="00B350E5" w:rsidP="00B350E5">
      <w:pPr>
        <w:spacing w:after="0" w:line="240" w:lineRule="auto"/>
        <w:jc w:val="center"/>
        <w:rPr>
          <w:rFonts w:ascii="Arial" w:hAnsi="Arial" w:cs="Arial"/>
          <w:b/>
          <w:spacing w:val="-16"/>
          <w:sz w:val="21"/>
          <w:szCs w:val="21"/>
        </w:rPr>
      </w:pPr>
      <w:r w:rsidRPr="00FC657C">
        <w:rPr>
          <w:rFonts w:ascii="Arial" w:hAnsi="Arial" w:cs="Arial"/>
          <w:b/>
          <w:spacing w:val="-16"/>
          <w:sz w:val="21"/>
          <w:szCs w:val="21"/>
        </w:rPr>
        <w:lastRenderedPageBreak/>
        <w:t>Cuadro 6. Principales causas de mortalidad para la población masculina de 0 a 24 años en México</w:t>
      </w:r>
      <w:r w:rsidR="00FC657C" w:rsidRPr="00FC657C">
        <w:rPr>
          <w:rFonts w:ascii="Arial" w:hAnsi="Arial" w:cs="Arial"/>
          <w:b/>
          <w:spacing w:val="-16"/>
          <w:sz w:val="21"/>
          <w:szCs w:val="21"/>
        </w:rPr>
        <w:t>, 2017</w:t>
      </w:r>
    </w:p>
    <w:p w14:paraId="30BE12F3" w14:textId="77777777"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60170350" wp14:editId="6DE70D72">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43819" cy="3600000"/>
                    </a:xfrm>
                    <a:prstGeom prst="rect">
                      <a:avLst/>
                    </a:prstGeom>
                  </pic:spPr>
                </pic:pic>
              </a:graphicData>
            </a:graphic>
          </wp:inline>
        </w:drawing>
      </w:r>
    </w:p>
    <w:p w14:paraId="06E9B758" w14:textId="77777777" w:rsidR="00B350E5" w:rsidRPr="00845BFF" w:rsidRDefault="00B350E5" w:rsidP="00B350E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14:paraId="59403D77" w14:textId="77777777" w:rsidR="00EE1EA3" w:rsidRDefault="00EE1EA3" w:rsidP="00B350E5">
      <w:pPr>
        <w:spacing w:after="0" w:line="240" w:lineRule="auto"/>
        <w:jc w:val="center"/>
        <w:rPr>
          <w:rFonts w:ascii="Arial" w:hAnsi="Arial" w:cs="Arial"/>
          <w:b/>
        </w:rPr>
      </w:pPr>
    </w:p>
    <w:p w14:paraId="4F2B4DE2" w14:textId="642BFBBA" w:rsidR="00B350E5" w:rsidRPr="005B6CA1" w:rsidRDefault="00B350E5" w:rsidP="00B350E5">
      <w:pPr>
        <w:spacing w:after="0" w:line="240" w:lineRule="auto"/>
        <w:jc w:val="center"/>
        <w:rPr>
          <w:rFonts w:ascii="Arial" w:hAnsi="Arial" w:cs="Arial"/>
          <w:b/>
        </w:rPr>
      </w:pPr>
      <w:r>
        <w:rPr>
          <w:rFonts w:ascii="Arial" w:hAnsi="Arial" w:cs="Arial"/>
          <w:b/>
        </w:rPr>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p>
    <w:p w14:paraId="4B57C9AB" w14:textId="77777777" w:rsidR="00B350E5" w:rsidRPr="005B6CA1" w:rsidRDefault="00B350E5" w:rsidP="00B350E5">
      <w:pPr>
        <w:spacing w:after="0" w:line="360" w:lineRule="auto"/>
        <w:jc w:val="center"/>
        <w:rPr>
          <w:rFonts w:ascii="Arial" w:hAnsi="Arial" w:cs="Arial"/>
          <w:b/>
        </w:rPr>
      </w:pPr>
      <w:r w:rsidRPr="005B6CA1">
        <w:rPr>
          <w:rFonts w:ascii="Arial" w:hAnsi="Arial" w:cs="Arial"/>
          <w:noProof/>
          <w:lang w:eastAsia="es-MX"/>
        </w:rPr>
        <w:drawing>
          <wp:inline distT="0" distB="0" distL="0" distR="0" wp14:anchorId="53FBB225" wp14:editId="79EE0649">
            <wp:extent cx="4744800" cy="3600000"/>
            <wp:effectExtent l="0" t="0" r="0" b="635"/>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14:paraId="01E0748D" w14:textId="77777777" w:rsidR="00B350E5" w:rsidRPr="00845BFF" w:rsidRDefault="00B350E5" w:rsidP="00B350E5">
      <w:pPr>
        <w:spacing w:after="0" w:line="36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14:paraId="1AE3E705" w14:textId="77777777" w:rsidR="00B350E5" w:rsidRPr="005B6CA1" w:rsidRDefault="00B350E5" w:rsidP="00B350E5">
      <w:pPr>
        <w:spacing w:after="0" w:line="240" w:lineRule="auto"/>
        <w:jc w:val="center"/>
        <w:rPr>
          <w:rFonts w:ascii="Arial" w:hAnsi="Arial" w:cs="Arial"/>
          <w:b/>
        </w:rPr>
      </w:pPr>
      <w:r>
        <w:rPr>
          <w:rFonts w:ascii="Arial" w:hAnsi="Arial" w:cs="Arial"/>
          <w:b/>
        </w:rPr>
        <w:lastRenderedPageBreak/>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14:paraId="34225B39" w14:textId="77777777"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3B741E59" wp14:editId="70BD11AC">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44800" cy="3600000"/>
                    </a:xfrm>
                    <a:prstGeom prst="rect">
                      <a:avLst/>
                    </a:prstGeom>
                  </pic:spPr>
                </pic:pic>
              </a:graphicData>
            </a:graphic>
          </wp:inline>
        </w:drawing>
      </w:r>
    </w:p>
    <w:p w14:paraId="2512713A" w14:textId="77777777" w:rsidR="00B350E5" w:rsidRPr="00845BFF" w:rsidRDefault="00B350E5" w:rsidP="00B350E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14:paraId="4F8E778A" w14:textId="77777777" w:rsidR="00B350E5" w:rsidRPr="005B6CA1" w:rsidRDefault="00B350E5" w:rsidP="00B350E5">
      <w:pPr>
        <w:spacing w:after="0" w:line="240" w:lineRule="auto"/>
        <w:jc w:val="center"/>
        <w:rPr>
          <w:rFonts w:ascii="Arial" w:hAnsi="Arial" w:cs="Arial"/>
          <w:b/>
        </w:rPr>
      </w:pPr>
      <w:r>
        <w:rPr>
          <w:rFonts w:ascii="Arial" w:hAnsi="Arial" w:cs="Arial"/>
          <w:b/>
        </w:rPr>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14:paraId="278CCF30" w14:textId="77777777"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205BEF6B" wp14:editId="01FCA023">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44800" cy="3600000"/>
                    </a:xfrm>
                    <a:prstGeom prst="rect">
                      <a:avLst/>
                    </a:prstGeom>
                  </pic:spPr>
                </pic:pic>
              </a:graphicData>
            </a:graphic>
          </wp:inline>
        </w:drawing>
      </w:r>
    </w:p>
    <w:p w14:paraId="5FF5270C" w14:textId="77777777" w:rsidR="00B350E5" w:rsidRPr="00845BFF" w:rsidRDefault="00B350E5" w:rsidP="00B350E5">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14:paraId="0D11A385" w14:textId="77777777" w:rsidR="00F92AA1" w:rsidRDefault="006046FB" w:rsidP="0082403C">
      <w:pPr>
        <w:spacing w:line="360" w:lineRule="auto"/>
        <w:jc w:val="both"/>
        <w:rPr>
          <w:rFonts w:ascii="Arial" w:hAnsi="Arial" w:cs="Arial"/>
          <w:b/>
        </w:rPr>
      </w:pPr>
      <w:r>
        <w:rPr>
          <w:rFonts w:ascii="Arial" w:hAnsi="Arial" w:cs="Arial"/>
          <w:b/>
        </w:rPr>
        <w:lastRenderedPageBreak/>
        <w:t>2</w:t>
      </w:r>
      <w:r w:rsidR="005B44CA">
        <w:rPr>
          <w:rFonts w:ascii="Arial" w:hAnsi="Arial" w:cs="Arial"/>
          <w:b/>
        </w:rPr>
        <w:t>.5.</w:t>
      </w:r>
      <w:r w:rsidR="00B350E5">
        <w:rPr>
          <w:rFonts w:ascii="Arial" w:hAnsi="Arial" w:cs="Arial"/>
          <w:b/>
        </w:rPr>
        <w:t xml:space="preserve"> </w:t>
      </w:r>
      <w:r w:rsidR="00F92AA1" w:rsidRPr="00F92AA1">
        <w:rPr>
          <w:rFonts w:ascii="Arial" w:hAnsi="Arial" w:cs="Arial"/>
          <w:b/>
        </w:rPr>
        <w:t xml:space="preserve">Provisión global de especialistas y </w:t>
      </w:r>
      <w:r w:rsidR="004361ED">
        <w:rPr>
          <w:rFonts w:ascii="Arial" w:hAnsi="Arial" w:cs="Arial"/>
          <w:b/>
        </w:rPr>
        <w:t>servicios de Anestesiología</w:t>
      </w:r>
      <w:r w:rsidR="00F92AA1">
        <w:rPr>
          <w:rFonts w:ascii="Arial" w:hAnsi="Arial" w:cs="Arial"/>
          <w:b/>
        </w:rPr>
        <w:t>.</w:t>
      </w:r>
      <w:r w:rsidR="00F92AA1" w:rsidRPr="00F92AA1">
        <w:rPr>
          <w:rFonts w:ascii="Arial" w:hAnsi="Arial" w:cs="Arial"/>
          <w:b/>
        </w:rPr>
        <w:t xml:space="preserve"> </w:t>
      </w:r>
    </w:p>
    <w:p w14:paraId="78BACC20" w14:textId="77777777" w:rsidR="004361ED" w:rsidRDefault="004361ED" w:rsidP="004361ED">
      <w:pPr>
        <w:spacing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Asimismo, es importante mencionar que en México; al respecto, el promedio de proporciones de la Organización para la Cooperación y el Desarrollo Económicos (OCDE)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14:paraId="3124FD2B" w14:textId="2E776E50" w:rsidR="004361ED" w:rsidRDefault="004361ED" w:rsidP="004361ED">
      <w:pPr>
        <w:spacing w:line="360" w:lineRule="auto"/>
        <w:jc w:val="both"/>
        <w:rPr>
          <w:rFonts w:ascii="Arial" w:hAnsi="Arial" w:cs="Arial"/>
        </w:rPr>
      </w:pPr>
      <w:r>
        <w:rPr>
          <w:rFonts w:ascii="Arial" w:hAnsi="Arial" w:cs="Arial"/>
        </w:rPr>
        <w:t>Por otro lado, en México, durante el período 2000-2017 (Gráfica 4) se puede observar una tendencia a</w:t>
      </w:r>
      <w:r w:rsidR="00D23750">
        <w:rPr>
          <w:rFonts w:ascii="Arial" w:hAnsi="Arial" w:cs="Arial"/>
        </w:rPr>
        <w:t xml:space="preserve"> </w:t>
      </w:r>
      <w:r>
        <w:rPr>
          <w:rFonts w:ascii="Arial" w:hAnsi="Arial" w:cs="Arial"/>
        </w:rPr>
        <w:t>l</w:t>
      </w:r>
      <w:r w:rsidR="00D23750">
        <w:rPr>
          <w:rFonts w:ascii="Arial" w:hAnsi="Arial" w:cs="Arial"/>
        </w:rPr>
        <w:t>a</w:t>
      </w:r>
      <w:r>
        <w:rPr>
          <w:rFonts w:ascii="Arial" w:hAnsi="Arial" w:cs="Arial"/>
        </w:rPr>
        <w:t xml:space="preserve"> alza de los especialistas en el país, el cual se ha correspondido con el crecimiento poblacional, no obstante, el ritmo de c</w:t>
      </w:r>
      <w:r w:rsidR="00076724">
        <w:rPr>
          <w:rFonts w:ascii="Arial" w:hAnsi="Arial" w:cs="Arial"/>
        </w:rPr>
        <w:t xml:space="preserve">recimiento ha sido paulatino e </w:t>
      </w:r>
      <w:r>
        <w:rPr>
          <w:rFonts w:ascii="Arial" w:hAnsi="Arial" w:cs="Arial"/>
        </w:rPr>
        <w:t xml:space="preserve">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w:t>
      </w:r>
      <w:r w:rsidR="00F360AA">
        <w:rPr>
          <w:rFonts w:ascii="Arial" w:hAnsi="Arial" w:cs="Arial"/>
        </w:rPr>
        <w:t>5</w:t>
      </w:r>
      <w:r>
        <w:rPr>
          <w:rFonts w:ascii="Arial" w:hAnsi="Arial" w:cs="Arial"/>
        </w:rPr>
        <w:t xml:space="preserve">), pero si la tasa se </w:t>
      </w:r>
      <w:r w:rsidRPr="004A504F">
        <w:rPr>
          <w:rFonts w:ascii="Arial" w:hAnsi="Arial" w:cs="Arial"/>
          <w:spacing w:val="-16"/>
        </w:rPr>
        <w:t>calculara sólo con datos de los médicos especialistas en el sector salud, el indicador se reduciría aún más</w:t>
      </w:r>
      <w:r w:rsidRPr="004A504F">
        <w:rPr>
          <w:rStyle w:val="Refdenotaalpie"/>
          <w:rFonts w:ascii="Arial" w:hAnsi="Arial" w:cs="Arial"/>
          <w:spacing w:val="-16"/>
        </w:rPr>
        <w:footnoteReference w:id="36"/>
      </w:r>
      <w:r w:rsidRPr="004A504F">
        <w:rPr>
          <w:rFonts w:ascii="Arial" w:hAnsi="Arial" w:cs="Arial"/>
          <w:spacing w:val="-16"/>
        </w:rPr>
        <w:t>.</w:t>
      </w:r>
    </w:p>
    <w:p w14:paraId="731135F5" w14:textId="77777777" w:rsidR="004361ED" w:rsidRPr="000B1A58" w:rsidRDefault="004361ED" w:rsidP="004361ED">
      <w:pPr>
        <w:spacing w:after="0" w:line="360" w:lineRule="auto"/>
        <w:jc w:val="center"/>
        <w:rPr>
          <w:rFonts w:ascii="Arial" w:hAnsi="Arial" w:cs="Arial"/>
          <w:b/>
        </w:rPr>
      </w:pPr>
      <w:r w:rsidRPr="000B1A58">
        <w:rPr>
          <w:rFonts w:ascii="Arial" w:hAnsi="Arial" w:cs="Arial"/>
          <w:b/>
        </w:rPr>
        <w:t>Gráfica</w:t>
      </w:r>
      <w:r>
        <w:rPr>
          <w:rFonts w:ascii="Arial" w:hAnsi="Arial" w:cs="Arial"/>
          <w:b/>
        </w:rPr>
        <w:t xml:space="preserve"> 4</w:t>
      </w:r>
      <w:r w:rsidRPr="000B1A58">
        <w:rPr>
          <w:rFonts w:ascii="Arial" w:hAnsi="Arial" w:cs="Arial"/>
          <w:b/>
        </w:rPr>
        <w:t>. Evolución de los médicos especialistas en México, 2000-2017.</w:t>
      </w:r>
    </w:p>
    <w:p w14:paraId="764FE1F3" w14:textId="77777777" w:rsidR="004361ED" w:rsidRDefault="004361ED" w:rsidP="004361ED">
      <w:pPr>
        <w:spacing w:after="0" w:line="360" w:lineRule="auto"/>
        <w:jc w:val="both"/>
        <w:rPr>
          <w:rFonts w:ascii="Arial" w:hAnsi="Arial" w:cs="Arial"/>
        </w:rPr>
      </w:pPr>
      <w:r>
        <w:rPr>
          <w:noProof/>
          <w:lang w:eastAsia="es-MX"/>
        </w:rPr>
        <w:drawing>
          <wp:inline distT="0" distB="0" distL="0" distR="0" wp14:anchorId="44B294D3" wp14:editId="2D0B806C">
            <wp:extent cx="5612130" cy="1889185"/>
            <wp:effectExtent l="0" t="0" r="7620" b="1587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19C217C" w14:textId="2ABA875A" w:rsidR="004361ED" w:rsidRPr="00D80542" w:rsidRDefault="004361ED" w:rsidP="004361ED">
      <w:pPr>
        <w:spacing w:after="0" w:line="360" w:lineRule="auto"/>
        <w:ind w:firstLine="708"/>
        <w:jc w:val="both"/>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Heinze </w:t>
      </w:r>
      <w:r w:rsidR="00C87899">
        <w:rPr>
          <w:rFonts w:ascii="Arial" w:hAnsi="Arial" w:cs="Arial"/>
          <w:i/>
          <w:sz w:val="18"/>
        </w:rPr>
        <w:t>et</w:t>
      </w:r>
      <w:r w:rsidRPr="00D80542">
        <w:rPr>
          <w:rFonts w:ascii="Arial" w:hAnsi="Arial" w:cs="Arial"/>
          <w:i/>
          <w:sz w:val="18"/>
        </w:rPr>
        <w:t xml:space="preserve"> al.</w:t>
      </w:r>
      <w:r w:rsidRPr="00D80542">
        <w:rPr>
          <w:rFonts w:ascii="Arial" w:hAnsi="Arial" w:cs="Arial"/>
          <w:sz w:val="18"/>
        </w:rPr>
        <w:t xml:space="preserve"> (2018).</w:t>
      </w:r>
    </w:p>
    <w:p w14:paraId="0DBD75C8" w14:textId="6DF624F3" w:rsidR="004361ED" w:rsidRDefault="004361ED" w:rsidP="004361ED">
      <w:pPr>
        <w:spacing w:after="0" w:line="36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Heinze </w:t>
      </w:r>
      <w:r w:rsidR="00C87899">
        <w:rPr>
          <w:rFonts w:ascii="Arial" w:hAnsi="Arial" w:cs="Arial"/>
          <w:i/>
          <w:sz w:val="18"/>
        </w:rPr>
        <w:t>et</w:t>
      </w:r>
      <w:r w:rsidRPr="000C7D4F">
        <w:rPr>
          <w:rFonts w:ascii="Arial" w:hAnsi="Arial" w:cs="Arial"/>
          <w:i/>
          <w:sz w:val="18"/>
        </w:rPr>
        <w:t xml:space="preserve"> al.</w:t>
      </w:r>
      <w:r w:rsidRPr="00D80542">
        <w:rPr>
          <w:rFonts w:ascii="Arial" w:hAnsi="Arial" w:cs="Arial"/>
          <w:sz w:val="18"/>
        </w:rPr>
        <w:t xml:space="preserve"> (2018) y de las proyecciones de población de CONAPO.</w:t>
      </w:r>
      <w:r>
        <w:rPr>
          <w:rFonts w:ascii="Arial" w:hAnsi="Arial" w:cs="Arial"/>
        </w:rPr>
        <w:t xml:space="preserve"> </w:t>
      </w:r>
    </w:p>
    <w:p w14:paraId="1F1CA145" w14:textId="77777777" w:rsidR="004361ED" w:rsidRPr="00B153DC" w:rsidRDefault="004361ED" w:rsidP="004361ED">
      <w:pPr>
        <w:spacing w:after="0" w:line="360" w:lineRule="auto"/>
        <w:jc w:val="center"/>
        <w:rPr>
          <w:rFonts w:ascii="Arial" w:hAnsi="Arial" w:cs="Arial"/>
          <w:b/>
        </w:rPr>
      </w:pPr>
      <w:r>
        <w:rPr>
          <w:rFonts w:ascii="Arial" w:hAnsi="Arial" w:cs="Arial"/>
        </w:rPr>
        <w:lastRenderedPageBreak/>
        <w:t xml:space="preserve"> </w:t>
      </w:r>
      <w:r w:rsidRPr="00B153DC">
        <w:rPr>
          <w:rFonts w:ascii="Arial" w:hAnsi="Arial" w:cs="Arial"/>
          <w:b/>
        </w:rPr>
        <w:t>Gráfica</w:t>
      </w:r>
      <w:r>
        <w:rPr>
          <w:rFonts w:ascii="Arial" w:hAnsi="Arial" w:cs="Arial"/>
          <w:b/>
        </w:rPr>
        <w:t xml:space="preserve"> 5</w:t>
      </w:r>
      <w:r w:rsidRPr="00B153DC">
        <w:rPr>
          <w:rFonts w:ascii="Arial" w:hAnsi="Arial" w:cs="Arial"/>
          <w:b/>
        </w:rPr>
        <w:t>. Médicos especialistas por 1,000 habitantes diversos países de la OCDE, 2015.</w:t>
      </w:r>
    </w:p>
    <w:p w14:paraId="2863999A" w14:textId="77777777" w:rsidR="004361ED" w:rsidRDefault="004361ED" w:rsidP="004361ED">
      <w:pPr>
        <w:spacing w:after="0" w:line="360" w:lineRule="auto"/>
        <w:jc w:val="center"/>
        <w:rPr>
          <w:rFonts w:ascii="Arial" w:hAnsi="Arial" w:cs="Arial"/>
        </w:rPr>
      </w:pPr>
      <w:r>
        <w:rPr>
          <w:noProof/>
          <w:lang w:eastAsia="es-MX"/>
        </w:rPr>
        <w:drawing>
          <wp:inline distT="0" distB="0" distL="0" distR="0" wp14:anchorId="45B734C9" wp14:editId="2070D1D9">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0087201" w14:textId="77777777" w:rsidR="004361ED" w:rsidRPr="00B350E5" w:rsidRDefault="004361ED" w:rsidP="004361ED">
      <w:pPr>
        <w:spacing w:after="0" w:line="36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14:paraId="2F0A47A9" w14:textId="77777777" w:rsidR="004361ED" w:rsidRDefault="004361ED" w:rsidP="004361ED">
      <w:pPr>
        <w:spacing w:after="0" w:line="360" w:lineRule="auto"/>
        <w:rPr>
          <w:rFonts w:ascii="Arial" w:hAnsi="Arial" w:cs="Arial"/>
          <w:b/>
          <w:sz w:val="20"/>
        </w:rPr>
      </w:pPr>
    </w:p>
    <w:p w14:paraId="386BFA2F" w14:textId="77777777" w:rsidR="004361ED" w:rsidRDefault="004361ED" w:rsidP="004361ED">
      <w:pPr>
        <w:spacing w:line="360" w:lineRule="auto"/>
        <w:jc w:val="both"/>
        <w:rPr>
          <w:rFonts w:ascii="Arial" w:hAnsi="Arial" w:cs="Arial"/>
        </w:rPr>
      </w:pPr>
    </w:p>
    <w:p w14:paraId="2169A41C" w14:textId="639EDC3A" w:rsidR="004361ED" w:rsidRDefault="004361ED" w:rsidP="004361ED">
      <w:pPr>
        <w:spacing w:line="360" w:lineRule="auto"/>
        <w:jc w:val="both"/>
        <w:rPr>
          <w:rFonts w:ascii="Arial" w:hAnsi="Arial" w:cs="Arial"/>
        </w:rPr>
      </w:pPr>
      <w:r>
        <w:rPr>
          <w:rFonts w:ascii="Arial" w:hAnsi="Arial" w:cs="Arial"/>
        </w:rPr>
        <w:t>Respecto a los especialistas en Anestesiología, se estima que para México en 2017 había 14,454 especialistas, es decir, una tasa de 1.17 anestesiólogos por cada 10,000 habitantes. De dicha población de médicos especialistas, 50.4% tenían una certificación vigente</w:t>
      </w:r>
      <w:r>
        <w:rPr>
          <w:rStyle w:val="Refdenotaalpie"/>
          <w:rFonts w:ascii="Arial" w:hAnsi="Arial" w:cs="Arial"/>
        </w:rPr>
        <w:footnoteReference w:id="37"/>
      </w:r>
      <w:r>
        <w:rPr>
          <w:rFonts w:ascii="Arial" w:hAnsi="Arial" w:cs="Arial"/>
        </w:rPr>
        <w:t>. Por otro lado, estimaciones del sector público de salud en México señalan que alrededor de 90% de estos especialistas laboran en dicho sector</w:t>
      </w:r>
      <w:r>
        <w:rPr>
          <w:rStyle w:val="Refdenotaalpie"/>
          <w:rFonts w:ascii="Arial" w:hAnsi="Arial" w:cs="Arial"/>
        </w:rPr>
        <w:footnoteReference w:id="38"/>
      </w:r>
      <w:r>
        <w:rPr>
          <w:rFonts w:ascii="Arial" w:hAnsi="Arial" w:cs="Arial"/>
        </w:rPr>
        <w:t xml:space="preserve">. Otras estimaciones indican que un 80% de anestesiólogos </w:t>
      </w:r>
      <w:r w:rsidR="00076724">
        <w:rPr>
          <w:rFonts w:ascii="Arial" w:hAnsi="Arial" w:cs="Arial"/>
        </w:rPr>
        <w:t xml:space="preserve">están </w:t>
      </w:r>
      <w:r>
        <w:rPr>
          <w:rFonts w:ascii="Arial" w:hAnsi="Arial" w:cs="Arial"/>
        </w:rPr>
        <w:t>en el sector privado</w:t>
      </w:r>
      <w:r>
        <w:rPr>
          <w:rStyle w:val="Refdenotaalpie"/>
          <w:rFonts w:ascii="Arial" w:hAnsi="Arial" w:cs="Arial"/>
        </w:rPr>
        <w:footnoteReference w:id="39"/>
      </w:r>
      <w:r>
        <w:rPr>
          <w:rFonts w:ascii="Arial" w:hAnsi="Arial" w:cs="Arial"/>
        </w:rPr>
        <w:t xml:space="preserve">. Al respecto, </w:t>
      </w:r>
      <w:r w:rsidRPr="005B4C39">
        <w:rPr>
          <w:rFonts w:ascii="Arial" w:hAnsi="Arial" w:cs="Arial"/>
        </w:rPr>
        <w:t xml:space="preserve">es importante </w:t>
      </w:r>
      <w:r>
        <w:rPr>
          <w:rFonts w:ascii="Arial" w:hAnsi="Arial" w:cs="Arial"/>
        </w:rPr>
        <w:t>considerar que una alta</w:t>
      </w:r>
      <w:r w:rsidRPr="005B4C39">
        <w:rPr>
          <w:rFonts w:ascii="Arial" w:hAnsi="Arial" w:cs="Arial"/>
        </w:rPr>
        <w:t xml:space="preserve"> proporción de médicos especialistas en México –alrededor de 30%– trabajan de forma simultánea en el sector público y privado, por lo cual podría existir la posibilidad de un doble conteo</w:t>
      </w:r>
      <w:r>
        <w:rPr>
          <w:rStyle w:val="Refdenotaalpie"/>
          <w:rFonts w:ascii="Arial" w:hAnsi="Arial" w:cs="Arial"/>
        </w:rPr>
        <w:footnoteReference w:id="40"/>
      </w:r>
      <w:r w:rsidRPr="005B4C39">
        <w:rPr>
          <w:rFonts w:ascii="Arial" w:hAnsi="Arial" w:cs="Arial"/>
        </w:rPr>
        <w:t>.</w:t>
      </w:r>
      <w:r>
        <w:rPr>
          <w:rFonts w:ascii="Arial" w:hAnsi="Arial" w:cs="Arial"/>
        </w:rPr>
        <w:t xml:space="preserve"> </w:t>
      </w:r>
    </w:p>
    <w:p w14:paraId="096C1A0C" w14:textId="77777777" w:rsidR="004361ED" w:rsidRDefault="004361ED" w:rsidP="004361ED">
      <w:pPr>
        <w:spacing w:line="360" w:lineRule="auto"/>
        <w:jc w:val="both"/>
        <w:rPr>
          <w:rFonts w:ascii="Arial" w:hAnsi="Arial" w:cs="Arial"/>
        </w:rPr>
      </w:pPr>
      <w:r>
        <w:rPr>
          <w:rFonts w:ascii="Arial" w:hAnsi="Arial" w:cs="Arial"/>
        </w:rPr>
        <w:lastRenderedPageBreak/>
        <w:t>Adicionalmente, para dimensionar la actividad y uso de los servicios de los especialistas en anestesiología, de los procedimientos hechos en el sector público de salud en México para 2017, 28% de estos requirieron un tipo de anestesia, es decir, durante el año señalado se realizaron 1.7 millones de procedimientos que requirieron este tipo de servicio</w:t>
      </w:r>
      <w:r>
        <w:rPr>
          <w:rStyle w:val="Refdenotaalpie"/>
          <w:rFonts w:ascii="Arial" w:hAnsi="Arial" w:cs="Arial"/>
        </w:rPr>
        <w:footnoteReference w:id="41"/>
      </w:r>
      <w:r>
        <w:rPr>
          <w:rFonts w:ascii="Arial" w:hAnsi="Arial" w:cs="Arial"/>
        </w:rPr>
        <w:t>. Significativamente, la mayoría de estos procedimientos fueron quirúrgicos (82%); le siguen los procedimientos terapéuticos (14%), y en mucha menor proporción, los de diagnóstico (4%) (Gráfica 6). Respecto al tipo de anestesia aplicada (Gráfica 7), 54% de los procedimientos requirieron anestesia regional; en menor proporción, otro 25% utilizaron anestesia local, 16% fue anestesia general, y sólo 3% y 2% de los procedimientos fueron sedación y anestesia combinada, respectivamente</w:t>
      </w:r>
      <w:r>
        <w:rPr>
          <w:rStyle w:val="Refdenotaalpie"/>
          <w:rFonts w:ascii="Arial" w:hAnsi="Arial" w:cs="Arial"/>
        </w:rPr>
        <w:footnoteReference w:id="42"/>
      </w:r>
      <w:r>
        <w:rPr>
          <w:rFonts w:ascii="Arial" w:hAnsi="Arial" w:cs="Arial"/>
        </w:rPr>
        <w:t xml:space="preserve">. </w:t>
      </w:r>
    </w:p>
    <w:p w14:paraId="32CD5FDD" w14:textId="77777777" w:rsidR="004361ED" w:rsidRPr="00C3138B" w:rsidRDefault="004361ED" w:rsidP="004361ED">
      <w:pPr>
        <w:spacing w:after="0" w:line="360" w:lineRule="auto"/>
        <w:jc w:val="center"/>
        <w:rPr>
          <w:rFonts w:ascii="Arial" w:hAnsi="Arial" w:cs="Arial"/>
          <w:b/>
        </w:rPr>
      </w:pPr>
      <w:r w:rsidRPr="00C3138B">
        <w:rPr>
          <w:rFonts w:ascii="Arial" w:hAnsi="Arial" w:cs="Arial"/>
          <w:b/>
        </w:rPr>
        <w:t>Gráfica</w:t>
      </w:r>
      <w:r>
        <w:rPr>
          <w:rFonts w:ascii="Arial" w:hAnsi="Arial" w:cs="Arial"/>
          <w:b/>
        </w:rPr>
        <w:t xml:space="preserve"> 6</w:t>
      </w:r>
      <w:r w:rsidRPr="00C3138B">
        <w:rPr>
          <w:rFonts w:ascii="Arial" w:hAnsi="Arial" w:cs="Arial"/>
          <w:b/>
        </w:rPr>
        <w:t>. Distribución de los servicios anestesiológicos en México según tipo de procedimiento, 2017.</w:t>
      </w:r>
    </w:p>
    <w:p w14:paraId="0BE35DE8" w14:textId="77777777" w:rsidR="004361ED" w:rsidRDefault="004361ED" w:rsidP="004361ED">
      <w:pPr>
        <w:spacing w:after="0" w:line="360" w:lineRule="auto"/>
        <w:jc w:val="center"/>
        <w:rPr>
          <w:rFonts w:ascii="Arial" w:hAnsi="Arial" w:cs="Arial"/>
        </w:rPr>
      </w:pPr>
      <w:r>
        <w:rPr>
          <w:noProof/>
          <w:lang w:eastAsia="es-MX"/>
        </w:rPr>
        <w:drawing>
          <wp:inline distT="0" distB="0" distL="0" distR="0" wp14:anchorId="232F289B" wp14:editId="633593AE">
            <wp:extent cx="4572000" cy="2743200"/>
            <wp:effectExtent l="0" t="0" r="0" b="0"/>
            <wp:docPr id="35" name="Gráfico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C963EBC" w14:textId="77777777" w:rsidR="004361ED" w:rsidRPr="00CC1FC0" w:rsidRDefault="004361ED" w:rsidP="004361ED">
      <w:pPr>
        <w:spacing w:after="0" w:line="360" w:lineRule="auto"/>
        <w:jc w:val="center"/>
        <w:rPr>
          <w:rFonts w:ascii="Arial" w:hAnsi="Arial" w:cs="Arial"/>
          <w:sz w:val="18"/>
        </w:rPr>
      </w:pPr>
      <w:r w:rsidRPr="00CC1FC0">
        <w:rPr>
          <w:rFonts w:ascii="Arial" w:hAnsi="Arial" w:cs="Arial"/>
          <w:b/>
          <w:sz w:val="18"/>
        </w:rPr>
        <w:t>Fuente:</w:t>
      </w:r>
      <w:r w:rsidRPr="00CC1FC0">
        <w:rPr>
          <w:rFonts w:ascii="Arial" w:hAnsi="Arial" w:cs="Arial"/>
          <w:sz w:val="18"/>
        </w:rPr>
        <w:t xml:space="preserve"> Elaboración propia con base en SSA (s.f. a).</w:t>
      </w:r>
    </w:p>
    <w:p w14:paraId="1AF187A5" w14:textId="77777777" w:rsidR="00333C17" w:rsidRDefault="00333C17" w:rsidP="004361ED">
      <w:pPr>
        <w:spacing w:after="0" w:line="360" w:lineRule="auto"/>
        <w:jc w:val="center"/>
        <w:rPr>
          <w:rFonts w:ascii="Arial" w:hAnsi="Arial" w:cs="Arial"/>
          <w:b/>
        </w:rPr>
      </w:pPr>
    </w:p>
    <w:p w14:paraId="3EED7426" w14:textId="77777777" w:rsidR="00333C17" w:rsidRDefault="00333C17" w:rsidP="004361ED">
      <w:pPr>
        <w:spacing w:after="0" w:line="360" w:lineRule="auto"/>
        <w:jc w:val="center"/>
        <w:rPr>
          <w:rFonts w:ascii="Arial" w:hAnsi="Arial" w:cs="Arial"/>
          <w:b/>
        </w:rPr>
      </w:pPr>
    </w:p>
    <w:p w14:paraId="368D99EA" w14:textId="2D4A8780" w:rsidR="00333C17" w:rsidRDefault="00333C17" w:rsidP="004361ED">
      <w:pPr>
        <w:spacing w:after="0" w:line="360" w:lineRule="auto"/>
        <w:jc w:val="center"/>
        <w:rPr>
          <w:rFonts w:ascii="Arial" w:hAnsi="Arial" w:cs="Arial"/>
          <w:b/>
        </w:rPr>
      </w:pPr>
    </w:p>
    <w:p w14:paraId="1F3D124B" w14:textId="77777777" w:rsidR="005441D1" w:rsidRDefault="005441D1" w:rsidP="004361ED">
      <w:pPr>
        <w:spacing w:after="0" w:line="360" w:lineRule="auto"/>
        <w:jc w:val="center"/>
        <w:rPr>
          <w:rFonts w:ascii="Arial" w:hAnsi="Arial" w:cs="Arial"/>
          <w:b/>
        </w:rPr>
      </w:pPr>
    </w:p>
    <w:p w14:paraId="10ED1026" w14:textId="77777777" w:rsidR="009025AA" w:rsidRDefault="009025AA" w:rsidP="004361ED">
      <w:pPr>
        <w:spacing w:after="0" w:line="360" w:lineRule="auto"/>
        <w:jc w:val="center"/>
        <w:rPr>
          <w:rFonts w:ascii="Arial" w:hAnsi="Arial" w:cs="Arial"/>
          <w:b/>
        </w:rPr>
      </w:pPr>
    </w:p>
    <w:p w14:paraId="7156841D" w14:textId="77777777" w:rsidR="004361ED" w:rsidRPr="00C3138B" w:rsidRDefault="004361ED" w:rsidP="004361ED">
      <w:pPr>
        <w:spacing w:after="0" w:line="360" w:lineRule="auto"/>
        <w:jc w:val="center"/>
        <w:rPr>
          <w:rFonts w:ascii="Arial" w:hAnsi="Arial" w:cs="Arial"/>
          <w:b/>
        </w:rPr>
      </w:pPr>
      <w:r w:rsidRPr="00C3138B">
        <w:rPr>
          <w:rFonts w:ascii="Arial" w:hAnsi="Arial" w:cs="Arial"/>
          <w:b/>
        </w:rPr>
        <w:lastRenderedPageBreak/>
        <w:t>Gráfica</w:t>
      </w:r>
      <w:r>
        <w:rPr>
          <w:rFonts w:ascii="Arial" w:hAnsi="Arial" w:cs="Arial"/>
          <w:b/>
        </w:rPr>
        <w:t xml:space="preserve"> 7</w:t>
      </w:r>
      <w:r w:rsidRPr="00C3138B">
        <w:rPr>
          <w:rFonts w:ascii="Arial" w:hAnsi="Arial" w:cs="Arial"/>
          <w:b/>
        </w:rPr>
        <w:t xml:space="preserve">. Distribución de los </w:t>
      </w:r>
      <w:r>
        <w:rPr>
          <w:rFonts w:ascii="Arial" w:hAnsi="Arial" w:cs="Arial"/>
          <w:b/>
        </w:rPr>
        <w:t>tipos de anestesia hechos en los procedimientos</w:t>
      </w:r>
      <w:r w:rsidRPr="00C3138B">
        <w:rPr>
          <w:rFonts w:ascii="Arial" w:hAnsi="Arial" w:cs="Arial"/>
          <w:b/>
        </w:rPr>
        <w:t xml:space="preserve"> en México, 2017.</w:t>
      </w:r>
    </w:p>
    <w:p w14:paraId="1F175222" w14:textId="77777777" w:rsidR="004361ED" w:rsidRDefault="004361ED" w:rsidP="004361ED">
      <w:pPr>
        <w:spacing w:after="0" w:line="360" w:lineRule="auto"/>
        <w:jc w:val="center"/>
        <w:rPr>
          <w:rFonts w:ascii="Arial" w:hAnsi="Arial" w:cs="Arial"/>
        </w:rPr>
      </w:pPr>
      <w:r>
        <w:rPr>
          <w:noProof/>
          <w:lang w:eastAsia="es-MX"/>
        </w:rPr>
        <w:drawing>
          <wp:inline distT="0" distB="0" distL="0" distR="0" wp14:anchorId="196F5E18" wp14:editId="60797710">
            <wp:extent cx="4572000" cy="2743200"/>
            <wp:effectExtent l="0" t="0" r="0"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CB6B718" w14:textId="77777777" w:rsidR="004361ED" w:rsidRPr="00CC1FC0" w:rsidRDefault="004361ED" w:rsidP="004361ED">
      <w:pPr>
        <w:spacing w:after="0" w:line="360" w:lineRule="auto"/>
        <w:jc w:val="center"/>
        <w:rPr>
          <w:rFonts w:ascii="Arial" w:hAnsi="Arial" w:cs="Arial"/>
          <w:sz w:val="18"/>
        </w:rPr>
      </w:pPr>
      <w:r w:rsidRPr="00CC1FC0">
        <w:rPr>
          <w:rFonts w:ascii="Arial" w:hAnsi="Arial" w:cs="Arial"/>
          <w:b/>
          <w:sz w:val="18"/>
        </w:rPr>
        <w:t>Fuente:</w:t>
      </w:r>
      <w:r w:rsidRPr="00CC1FC0">
        <w:rPr>
          <w:rFonts w:ascii="Arial" w:hAnsi="Arial" w:cs="Arial"/>
          <w:sz w:val="18"/>
        </w:rPr>
        <w:t xml:space="preserve"> Elaboración propia con base en SSA (s.f. a).</w:t>
      </w:r>
    </w:p>
    <w:p w14:paraId="689AFE44" w14:textId="77777777" w:rsidR="004361ED" w:rsidRDefault="004361ED" w:rsidP="004361ED">
      <w:pPr>
        <w:spacing w:line="360" w:lineRule="auto"/>
        <w:jc w:val="both"/>
        <w:rPr>
          <w:rFonts w:ascii="Arial" w:hAnsi="Arial" w:cs="Arial"/>
        </w:rPr>
      </w:pPr>
    </w:p>
    <w:p w14:paraId="1D195BC9" w14:textId="77777777" w:rsidR="004361ED" w:rsidRDefault="004361ED" w:rsidP="004361ED">
      <w:pPr>
        <w:spacing w:line="360" w:lineRule="auto"/>
        <w:jc w:val="both"/>
        <w:rPr>
          <w:rFonts w:ascii="Arial" w:hAnsi="Arial" w:cs="Arial"/>
        </w:rPr>
      </w:pPr>
      <w:r>
        <w:rPr>
          <w:rFonts w:ascii="Arial" w:hAnsi="Arial" w:cs="Arial"/>
        </w:rPr>
        <w:t>Lo anterior es muestra que las actividades de los anestesiólogos se han transformado en un eslabón prioritario en la cadena de la atención médica: es esencial para el tratamiento de diversas ECNT, padecimientos infectocontagiosos, neonatales y maternales y lesiones</w:t>
      </w:r>
      <w:r>
        <w:rPr>
          <w:rStyle w:val="Refdenotaalpie"/>
          <w:rFonts w:ascii="Arial" w:hAnsi="Arial" w:cs="Arial"/>
        </w:rPr>
        <w:footnoteReference w:id="43"/>
      </w:r>
      <w:r>
        <w:rPr>
          <w:rFonts w:ascii="Arial" w:hAnsi="Arial" w:cs="Arial"/>
        </w:rPr>
        <w:t xml:space="preserve"> </w:t>
      </w:r>
      <w:r>
        <w:rPr>
          <w:rStyle w:val="Refdenotaalpie"/>
          <w:rFonts w:ascii="Arial" w:hAnsi="Arial" w:cs="Arial"/>
        </w:rPr>
        <w:footnoteReference w:id="44"/>
      </w:r>
      <w:r>
        <w:rPr>
          <w:rFonts w:ascii="Arial" w:hAnsi="Arial" w:cs="Arial"/>
        </w:rPr>
        <w:t>.</w:t>
      </w:r>
      <w:r w:rsidR="00333C17">
        <w:rPr>
          <w:rFonts w:ascii="Arial" w:hAnsi="Arial" w:cs="Arial"/>
        </w:rPr>
        <w:t xml:space="preserve"> Hoy en día –como resultado de </w:t>
      </w:r>
      <w:r>
        <w:rPr>
          <w:rFonts w:ascii="Arial" w:hAnsi="Arial" w:cs="Arial"/>
        </w:rPr>
        <w:t>un gran trabajo de aprendizaje, enseñanza e investigación– la anestesiología se ha constituido como una especialidad altamente científica y tecnológica. Al respecto, Plancarte y Carrillo señalan que:</w:t>
      </w:r>
    </w:p>
    <w:p w14:paraId="70E2E2C4" w14:textId="77777777" w:rsidR="004361ED" w:rsidRPr="00CC1FC0" w:rsidRDefault="004361ED" w:rsidP="004361ED">
      <w:pPr>
        <w:spacing w:line="360" w:lineRule="auto"/>
        <w:ind w:left="708"/>
        <w:jc w:val="both"/>
        <w:rPr>
          <w:rFonts w:ascii="Arial" w:hAnsi="Arial" w:cs="Arial"/>
          <w:i/>
          <w:sz w:val="20"/>
        </w:rPr>
      </w:pPr>
      <w:r w:rsidRPr="00CC1FC0">
        <w:rPr>
          <w:rFonts w:ascii="Arial" w:hAnsi="Arial" w:cs="Arial"/>
          <w:i/>
          <w:sz w:val="20"/>
        </w:rPr>
        <w:t>“Las máquinas de anestesia inteligentes, el monitoreo, los recursos farmacológicos y las nuevas técnicas anestésicas la han hecho una profesión que, además de exigir trabajar con elevados estándares de seguridad y efectividad, propicia la investigación en diferentes y diversos campos, amplía su visión del período perioperatorio y extiende su desarrollo al campo de la algología y los cuidados paliativos. Adicionalmente, se adapta e interactúa con la modernidad tecnológica, de la que destaca la enseñanza virtual, la nanotecnología, la robótica y la anestesia a distancia, entre otros.” (p.1)</w:t>
      </w:r>
      <w:r>
        <w:rPr>
          <w:rStyle w:val="Refdenotaalpie"/>
          <w:rFonts w:ascii="Arial" w:hAnsi="Arial" w:cs="Arial"/>
          <w:i/>
          <w:sz w:val="20"/>
        </w:rPr>
        <w:footnoteReference w:id="45"/>
      </w:r>
    </w:p>
    <w:p w14:paraId="4B22749C" w14:textId="2311FB1F" w:rsidR="004361ED" w:rsidRPr="005441D1" w:rsidRDefault="00076724" w:rsidP="004361ED">
      <w:pPr>
        <w:spacing w:line="360" w:lineRule="auto"/>
        <w:jc w:val="both"/>
        <w:rPr>
          <w:rFonts w:ascii="Arial" w:hAnsi="Arial" w:cs="Arial"/>
        </w:rPr>
      </w:pPr>
      <w:r>
        <w:rPr>
          <w:rFonts w:ascii="Arial" w:hAnsi="Arial" w:cs="Arial"/>
        </w:rPr>
        <w:lastRenderedPageBreak/>
        <w:t xml:space="preserve">Se puede afirmar que </w:t>
      </w:r>
      <w:r w:rsidR="004361ED">
        <w:rPr>
          <w:rFonts w:ascii="Arial" w:hAnsi="Arial" w:cs="Arial"/>
        </w:rPr>
        <w:t>el anestesiólogo no es un ente aislado, ya que en su ejercicio interactúa y trabaja en armonía con otros anestesiólogos y un gran número de especialistas de diferentes disciplinas clínicas, manteniendo así un nivel dinámico en el ejercicio de la medicina</w:t>
      </w:r>
      <w:r w:rsidR="004361ED">
        <w:rPr>
          <w:rStyle w:val="Refdenotaalpie"/>
          <w:rFonts w:ascii="Arial" w:hAnsi="Arial" w:cs="Arial"/>
        </w:rPr>
        <w:footnoteReference w:id="46"/>
      </w:r>
      <w:r w:rsidR="004361ED">
        <w:rPr>
          <w:rFonts w:ascii="Arial" w:hAnsi="Arial" w:cs="Arial"/>
        </w:rPr>
        <w:t>. Bajo este aspecto, la anestesiología ha sido un binomio de la atención quirúrgica (96% de los procedimientos quirúrgicos en México en 2017 fueron con algún tipo de anestesia)</w:t>
      </w:r>
      <w:r w:rsidR="004361ED">
        <w:rPr>
          <w:rStyle w:val="Refdenotaalpie"/>
          <w:rFonts w:ascii="Arial" w:hAnsi="Arial" w:cs="Arial"/>
        </w:rPr>
        <w:footnoteReference w:id="47"/>
      </w:r>
      <w:r w:rsidR="004361ED">
        <w:rPr>
          <w:rFonts w:ascii="Arial" w:hAnsi="Arial" w:cs="Arial"/>
        </w:rPr>
        <w:t>, por lo cual ambas especialidades son esenciales para el tratamiento de diversos padecimientos, a la vez que son un ente integral de un sistema de salud funcional, responsivo y resiliente</w:t>
      </w:r>
      <w:r w:rsidR="004361ED" w:rsidRPr="005441D1">
        <w:rPr>
          <w:rStyle w:val="Refdenotaalpie"/>
          <w:rFonts w:ascii="Arial" w:hAnsi="Arial" w:cs="Arial"/>
        </w:rPr>
        <w:footnoteReference w:id="48"/>
      </w:r>
      <w:r w:rsidR="00657A9A" w:rsidRPr="005441D1">
        <w:rPr>
          <w:rFonts w:ascii="Arial" w:hAnsi="Arial" w:cs="Arial"/>
        </w:rPr>
        <w:t xml:space="preserve">; </w:t>
      </w:r>
      <w:r w:rsidR="004361ED" w:rsidRPr="005441D1">
        <w:rPr>
          <w:rFonts w:ascii="Arial" w:hAnsi="Arial" w:cs="Arial"/>
        </w:rPr>
        <w:t>a continuación</w:t>
      </w:r>
      <w:r w:rsidR="009025AA" w:rsidRPr="005441D1">
        <w:rPr>
          <w:rFonts w:ascii="Arial" w:hAnsi="Arial" w:cs="Arial"/>
        </w:rPr>
        <w:t>,</w:t>
      </w:r>
      <w:r w:rsidR="004361ED" w:rsidRPr="005441D1">
        <w:rPr>
          <w:rFonts w:ascii="Arial" w:hAnsi="Arial" w:cs="Arial"/>
        </w:rPr>
        <w:t xml:space="preserve"> se muestra la evolución y pronósticos de los servicios quirúrgicos en México como un indicador de aproximación del uso y potencial demanda de ser</w:t>
      </w:r>
      <w:r w:rsidR="00CD4325" w:rsidRPr="005441D1">
        <w:rPr>
          <w:rFonts w:ascii="Arial" w:hAnsi="Arial" w:cs="Arial"/>
        </w:rPr>
        <w:t>vicios de anestesiología</w:t>
      </w:r>
      <w:r w:rsidR="004361ED" w:rsidRPr="005441D1">
        <w:rPr>
          <w:rFonts w:ascii="Arial" w:hAnsi="Arial" w:cs="Arial"/>
        </w:rPr>
        <w:t xml:space="preserve">.     </w:t>
      </w:r>
    </w:p>
    <w:p w14:paraId="0F4BC2E6" w14:textId="77777777" w:rsidR="00657A9A" w:rsidRPr="005441D1" w:rsidRDefault="004361ED" w:rsidP="004361ED">
      <w:pPr>
        <w:spacing w:line="360" w:lineRule="auto"/>
        <w:jc w:val="both"/>
        <w:rPr>
          <w:rFonts w:ascii="Arial" w:hAnsi="Arial" w:cs="Arial"/>
        </w:rPr>
      </w:pPr>
      <w:r w:rsidRPr="005441D1">
        <w:rPr>
          <w:rFonts w:ascii="Arial" w:hAnsi="Arial" w:cs="Arial"/>
        </w:rPr>
        <w:t>En México, en los últimos años se han otorgado en promedio más de 3.6 millones de intervenciones quirúrgicas tan sólo en el sector público. De acuerdo al último Boletín de Información Estadística publicado, en 2016 se hicieron 3,718,272 intervenciones quirúrgicas</w:t>
      </w:r>
      <w:r w:rsidRPr="005441D1">
        <w:rPr>
          <w:rStyle w:val="Refdenotaalpie"/>
          <w:rFonts w:ascii="Arial" w:hAnsi="Arial" w:cs="Arial"/>
        </w:rPr>
        <w:footnoteReference w:id="49"/>
      </w:r>
      <w:r w:rsidRPr="005441D1">
        <w:rPr>
          <w:rFonts w:ascii="Arial" w:hAnsi="Arial" w:cs="Arial"/>
        </w:rPr>
        <w:t>. Además, la serie histórica 2000-2016 –de los servicios otorgados en Cirugía–  muestra una clara tendencia a la alza (Gráfica 8); en este período el número de servicios tuvo una tasa promedio de incremento anual de 1.8%</w:t>
      </w:r>
      <w:r w:rsidRPr="005441D1">
        <w:rPr>
          <w:rStyle w:val="Refdenotaalpie"/>
          <w:rFonts w:ascii="Arial" w:hAnsi="Arial" w:cs="Arial"/>
        </w:rPr>
        <w:footnoteReference w:id="50"/>
      </w:r>
      <w:r w:rsidRPr="005441D1">
        <w:rPr>
          <w:rFonts w:ascii="Arial" w:hAnsi="Arial" w:cs="Arial"/>
        </w:rPr>
        <w:t>. Asimismo, se hizo un pronóstico estocástico de los servicios en un horizonte a 6 años, es decir, para el período 2017-2022. En específico, en un escenario donde las condiciones sean parecidas a las actuales, se observa que la t</w:t>
      </w:r>
      <w:r w:rsidR="00333C17" w:rsidRPr="005441D1">
        <w:rPr>
          <w:rFonts w:ascii="Arial" w:hAnsi="Arial" w:cs="Arial"/>
        </w:rPr>
        <w:t>endencia a</w:t>
      </w:r>
      <w:r w:rsidR="00D23750" w:rsidRPr="005441D1">
        <w:rPr>
          <w:rFonts w:ascii="Arial" w:hAnsi="Arial" w:cs="Arial"/>
        </w:rPr>
        <w:t xml:space="preserve"> </w:t>
      </w:r>
      <w:r w:rsidR="00333C17" w:rsidRPr="005441D1">
        <w:rPr>
          <w:rFonts w:ascii="Arial" w:hAnsi="Arial" w:cs="Arial"/>
        </w:rPr>
        <w:t>l</w:t>
      </w:r>
      <w:r w:rsidR="00D23750" w:rsidRPr="005441D1">
        <w:rPr>
          <w:rFonts w:ascii="Arial" w:hAnsi="Arial" w:cs="Arial"/>
        </w:rPr>
        <w:t>a</w:t>
      </w:r>
      <w:r w:rsidRPr="005441D1">
        <w:rPr>
          <w:rFonts w:ascii="Arial" w:hAnsi="Arial" w:cs="Arial"/>
        </w:rPr>
        <w:t xml:space="preserve"> alza continuará durante los siguientes años, conservando la velocidad de crecimiento anual. Para el año 2019, se pronostican alrededor de 3,855,630 de intervenciones quirúrgicas (3.785-3.925 millones de servicios otorgados con un intervalo de pronóstico (IP) de 95%); para el año 2022 se pronostican un poco más de 3.929 millones de cirugías en México (3.859-3.998 millones IP 95%).</w:t>
      </w:r>
    </w:p>
    <w:p w14:paraId="03E064CF" w14:textId="6880A661" w:rsidR="004361ED" w:rsidRPr="00A95E81" w:rsidRDefault="00657A9A" w:rsidP="004361ED">
      <w:pPr>
        <w:spacing w:line="360" w:lineRule="auto"/>
        <w:jc w:val="both"/>
        <w:rPr>
          <w:rFonts w:ascii="Arial" w:hAnsi="Arial" w:cs="Arial"/>
          <w:color w:val="FF0000"/>
        </w:rPr>
      </w:pPr>
      <w:r>
        <w:rPr>
          <w:rFonts w:ascii="Arial" w:hAnsi="Arial" w:cs="Arial"/>
        </w:rPr>
        <w:t>La tendencia a la alza de las intervenciones quirúrgicas tendrá un efecto directo sobre la demanda de los servicios de los anestesiólogos; los servicios quirúrgicos y anestesiólogos podrá incrementarse aún más, es decir, crecer tanto en términos absolutos y relativos si es que el sistema de salud (público y privado) tienen capacidad para ello.</w:t>
      </w:r>
      <w:r w:rsidR="004361ED" w:rsidRPr="00A95E81">
        <w:rPr>
          <w:rFonts w:ascii="Arial" w:hAnsi="Arial" w:cs="Arial"/>
          <w:color w:val="FF0000"/>
        </w:rPr>
        <w:t xml:space="preserve">  </w:t>
      </w:r>
    </w:p>
    <w:p w14:paraId="5268BD31" w14:textId="77777777" w:rsidR="004361ED" w:rsidRPr="00FD181D" w:rsidRDefault="004361ED" w:rsidP="004361ED">
      <w:pPr>
        <w:spacing w:after="0" w:line="360" w:lineRule="auto"/>
        <w:jc w:val="center"/>
        <w:rPr>
          <w:rFonts w:ascii="Arial" w:hAnsi="Arial" w:cs="Arial"/>
          <w:b/>
        </w:rPr>
      </w:pPr>
      <w:r w:rsidRPr="00FD181D">
        <w:rPr>
          <w:rFonts w:ascii="Arial" w:hAnsi="Arial" w:cs="Arial"/>
          <w:b/>
        </w:rPr>
        <w:lastRenderedPageBreak/>
        <w:t>Gráfica</w:t>
      </w:r>
      <w:r>
        <w:rPr>
          <w:rFonts w:ascii="Arial" w:hAnsi="Arial" w:cs="Arial"/>
          <w:b/>
        </w:rPr>
        <w:t xml:space="preserve"> 8</w:t>
      </w:r>
      <w:r w:rsidRPr="00FD181D">
        <w:rPr>
          <w:rFonts w:ascii="Arial" w:hAnsi="Arial" w:cs="Arial"/>
          <w:b/>
        </w:rPr>
        <w:t xml:space="preserve">. Evolución y pronóstico de los servicios otorgados de </w:t>
      </w:r>
      <w:r>
        <w:rPr>
          <w:rFonts w:ascii="Arial" w:hAnsi="Arial" w:cs="Arial"/>
          <w:b/>
        </w:rPr>
        <w:t>Cirugía</w:t>
      </w:r>
      <w:r w:rsidRPr="00FD181D">
        <w:rPr>
          <w:rFonts w:ascii="Arial" w:hAnsi="Arial" w:cs="Arial"/>
          <w:b/>
        </w:rPr>
        <w:t>, 2000-2016 y 2017-2022.</w:t>
      </w:r>
    </w:p>
    <w:p w14:paraId="172ED7A5" w14:textId="77777777" w:rsidR="004361ED" w:rsidRDefault="004361ED" w:rsidP="004361ED">
      <w:pPr>
        <w:spacing w:after="0" w:line="360" w:lineRule="auto"/>
        <w:jc w:val="center"/>
        <w:rPr>
          <w:rFonts w:ascii="Arial" w:hAnsi="Arial" w:cs="Arial"/>
        </w:rPr>
      </w:pPr>
      <w:r>
        <w:rPr>
          <w:noProof/>
          <w:lang w:eastAsia="es-MX"/>
        </w:rPr>
        <w:drawing>
          <wp:inline distT="0" distB="0" distL="0" distR="0" wp14:anchorId="2ED9916E" wp14:editId="6BAD0306">
            <wp:extent cx="5510214" cy="3057525"/>
            <wp:effectExtent l="0" t="0" r="14605" b="9525"/>
            <wp:docPr id="36" name="Gráfico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7B139C6B" w14:textId="77777777" w:rsidR="004361ED" w:rsidRPr="009B5809" w:rsidRDefault="004361ED" w:rsidP="004361ED">
      <w:pPr>
        <w:spacing w:after="0" w:line="360" w:lineRule="auto"/>
        <w:jc w:val="center"/>
        <w:rPr>
          <w:rFonts w:ascii="Arial" w:hAnsi="Arial" w:cs="Arial"/>
          <w:sz w:val="18"/>
          <w:szCs w:val="18"/>
        </w:rPr>
      </w:pPr>
      <w:r w:rsidRPr="009B5809">
        <w:rPr>
          <w:rFonts w:ascii="Arial" w:hAnsi="Arial" w:cs="Arial"/>
          <w:b/>
          <w:sz w:val="18"/>
          <w:szCs w:val="18"/>
        </w:rPr>
        <w:t>Fuente:</w:t>
      </w:r>
      <w:r w:rsidRPr="009B5809">
        <w:rPr>
          <w:rFonts w:ascii="Arial" w:hAnsi="Arial" w:cs="Arial"/>
          <w:sz w:val="18"/>
          <w:szCs w:val="18"/>
        </w:rPr>
        <w:t xml:space="preserve"> Elaboración propia con base en SSA (2017).</w:t>
      </w:r>
    </w:p>
    <w:p w14:paraId="462718C4" w14:textId="617F4B6C" w:rsidR="004361ED" w:rsidRPr="005441D1" w:rsidRDefault="00F34405" w:rsidP="004361ED">
      <w:pPr>
        <w:spacing w:line="360" w:lineRule="auto"/>
        <w:jc w:val="both"/>
        <w:rPr>
          <w:rFonts w:ascii="Arial" w:hAnsi="Arial" w:cs="Arial"/>
        </w:rPr>
      </w:pPr>
      <w:r w:rsidRPr="005441D1">
        <w:rPr>
          <w:rFonts w:ascii="Arial" w:hAnsi="Arial" w:cs="Arial"/>
        </w:rPr>
        <w:t>Se observa que l</w:t>
      </w:r>
      <w:r w:rsidR="004361ED" w:rsidRPr="005441D1">
        <w:rPr>
          <w:rFonts w:ascii="Arial" w:hAnsi="Arial" w:cs="Arial"/>
        </w:rPr>
        <w:t>a tendencia a la alza es una consecuencia de que la cirugía y anestesiología son componentes esencial de la asistencia sanitaria, así como un rápido incremento en la incidencia y prevalencia de las ECNT y de los traumatismos –tanto a nivel país como mundial– ha hecho que el peso de este binomio vaya en aumento</w:t>
      </w:r>
      <w:r w:rsidR="004361ED" w:rsidRPr="005441D1">
        <w:rPr>
          <w:rStyle w:val="Refdenotaalpie"/>
          <w:rFonts w:ascii="Arial" w:hAnsi="Arial" w:cs="Arial"/>
        </w:rPr>
        <w:footnoteReference w:id="51"/>
      </w:r>
      <w:r w:rsidR="004361ED" w:rsidRPr="005441D1">
        <w:rPr>
          <w:rFonts w:ascii="Arial" w:hAnsi="Arial" w:cs="Arial"/>
        </w:rPr>
        <w:t>. Por ejemplo, las enfermedades que pueden tratarse quirúrgica y anestésicamente se encuentran entre las primeas 15 causas de discapacidad en todo el mundo; al menos 11% de los AVISA a nivel mundial son tratables eficazmente mediante intervención quirúrgica y anestésica, siendo que la proporción es aún mayor en países de ingresos bajos y medianos</w:t>
      </w:r>
      <w:r w:rsidR="004361ED" w:rsidRPr="005441D1">
        <w:rPr>
          <w:rStyle w:val="Refdenotaalpie"/>
          <w:rFonts w:ascii="Arial" w:hAnsi="Arial" w:cs="Arial"/>
        </w:rPr>
        <w:footnoteReference w:id="52"/>
      </w:r>
      <w:r w:rsidR="004361ED" w:rsidRPr="005441D1">
        <w:rPr>
          <w:rFonts w:ascii="Arial" w:hAnsi="Arial" w:cs="Arial"/>
        </w:rPr>
        <w:t>. Sin embargo, las necesidades de quirúrgicas y anestésicas varían de una región a otra, dependiendo de los esquemas de enfermedad, de los determinantes sociales, así como de la disponibilidad, acceso y uso de los sistemas de atención médica</w:t>
      </w:r>
      <w:r w:rsidR="004361ED" w:rsidRPr="005441D1">
        <w:rPr>
          <w:rStyle w:val="Refdenotaalpie"/>
          <w:rFonts w:ascii="Arial" w:hAnsi="Arial" w:cs="Arial"/>
        </w:rPr>
        <w:footnoteReference w:id="53"/>
      </w:r>
      <w:r w:rsidR="004361ED" w:rsidRPr="005441D1">
        <w:rPr>
          <w:rFonts w:ascii="Arial" w:hAnsi="Arial" w:cs="Arial"/>
        </w:rPr>
        <w:t>.</w:t>
      </w:r>
    </w:p>
    <w:p w14:paraId="64EE03B3" w14:textId="07A18318" w:rsidR="004361ED" w:rsidRDefault="005276CE" w:rsidP="004361ED">
      <w:pPr>
        <w:spacing w:line="360" w:lineRule="auto"/>
        <w:jc w:val="both"/>
        <w:rPr>
          <w:rFonts w:ascii="Arial" w:hAnsi="Arial" w:cs="Arial"/>
        </w:rPr>
      </w:pPr>
      <w:r>
        <w:rPr>
          <w:rFonts w:ascii="Arial" w:hAnsi="Arial" w:cs="Arial"/>
        </w:rPr>
        <w:t>Al respecto</w:t>
      </w:r>
      <w:r w:rsidR="004361ED" w:rsidRPr="007E1312">
        <w:rPr>
          <w:rFonts w:ascii="Arial" w:hAnsi="Arial" w:cs="Arial"/>
        </w:rPr>
        <w:t>, es importante notar la inequitativa dis</w:t>
      </w:r>
      <w:r w:rsidR="004361ED">
        <w:rPr>
          <w:rFonts w:ascii="Arial" w:hAnsi="Arial" w:cs="Arial"/>
        </w:rPr>
        <w:t>tribución geográfica de los anestesiólogos, así como de servicios otorgados y recursos asociados (para estos últimos se utilizan indicadores de cirugía) (</w:t>
      </w:r>
      <w:r w:rsidR="005441D1" w:rsidRPr="005441D1">
        <w:rPr>
          <w:rFonts w:ascii="Arial" w:hAnsi="Arial" w:cs="Arial"/>
        </w:rPr>
        <w:t>Cuadro 9</w:t>
      </w:r>
      <w:r w:rsidR="004361ED" w:rsidRPr="005441D1">
        <w:rPr>
          <w:rFonts w:ascii="Arial" w:hAnsi="Arial" w:cs="Arial"/>
        </w:rPr>
        <w:t>).</w:t>
      </w:r>
      <w:r w:rsidR="004361ED">
        <w:rPr>
          <w:rFonts w:ascii="Arial" w:hAnsi="Arial" w:cs="Arial"/>
        </w:rPr>
        <w:t xml:space="preserve"> La entidad con mayor volumen de estos especialistas es la Ciudad de México (2,109), seguido por el Estado de México (1,352) y </w:t>
      </w:r>
      <w:r w:rsidR="004361ED">
        <w:rPr>
          <w:rFonts w:ascii="Arial" w:hAnsi="Arial" w:cs="Arial"/>
        </w:rPr>
        <w:lastRenderedPageBreak/>
        <w:t>Jalisco (747</w:t>
      </w:r>
      <w:r w:rsidR="004361ED" w:rsidRPr="007E1312">
        <w:rPr>
          <w:rFonts w:ascii="Arial" w:hAnsi="Arial" w:cs="Arial"/>
        </w:rPr>
        <w:t>)</w:t>
      </w:r>
      <w:r w:rsidR="004361ED">
        <w:rPr>
          <w:rFonts w:ascii="Arial" w:hAnsi="Arial" w:cs="Arial"/>
        </w:rPr>
        <w:t>; en contraste, Colima y Campeche son las entidades con menor volumen de dichos especialistas (109 y 106 respectivamente)</w:t>
      </w:r>
      <w:r w:rsidR="004361ED">
        <w:rPr>
          <w:rStyle w:val="Refdenotaalpie"/>
          <w:rFonts w:ascii="Arial" w:hAnsi="Arial" w:cs="Arial"/>
        </w:rPr>
        <w:footnoteReference w:id="54"/>
      </w:r>
      <w:r w:rsidR="004361ED">
        <w:rPr>
          <w:rFonts w:ascii="Arial" w:hAnsi="Arial" w:cs="Arial"/>
        </w:rPr>
        <w:t>. En términos poblaciones, la Ciudad de México mantiene su hegemonía al haber 2.33 anestesiólogos por cada 10,000 habitantes (lo doble que el promedio nacional, 1.07); Baja California Sur es la segunda entidad con mayor número de anestesiólogos según su población (1.67); sin embargo, Querétaro, Chiapas e Hidalgo son las entidades con las tasas más bajas de especialistas</w:t>
      </w:r>
      <w:r w:rsidR="004361ED">
        <w:rPr>
          <w:rStyle w:val="Refdenotaalpie"/>
          <w:rFonts w:ascii="Arial" w:hAnsi="Arial" w:cs="Arial"/>
        </w:rPr>
        <w:footnoteReference w:id="55"/>
      </w:r>
      <w:r w:rsidR="004361ED">
        <w:rPr>
          <w:rFonts w:ascii="Arial" w:hAnsi="Arial" w:cs="Arial"/>
        </w:rPr>
        <w:t>. Respecto a esta desigualdad de la distribución de los recursos humanos de la especialidad, Fajardo, Santacruz y Hernández exponen que el sector público no ha tenido la capacidad suficiente para retener a los especialistas:</w:t>
      </w:r>
    </w:p>
    <w:p w14:paraId="1A10C478" w14:textId="77777777" w:rsidR="004361ED" w:rsidRPr="00315204" w:rsidRDefault="004361ED" w:rsidP="004361ED">
      <w:pPr>
        <w:spacing w:line="360" w:lineRule="auto"/>
        <w:ind w:left="708"/>
        <w:jc w:val="both"/>
        <w:rPr>
          <w:rFonts w:ascii="Arial" w:hAnsi="Arial" w:cs="Arial"/>
          <w:sz w:val="20"/>
        </w:rPr>
      </w:pPr>
      <w:r w:rsidRPr="00315204">
        <w:rPr>
          <w:rFonts w:ascii="Arial" w:hAnsi="Arial" w:cs="Arial"/>
          <w:i/>
          <w:sz w:val="20"/>
        </w:rPr>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315204">
        <w:rPr>
          <w:rFonts w:ascii="Arial" w:hAnsi="Arial" w:cs="Arial"/>
          <w:sz w:val="20"/>
        </w:rPr>
        <w:t>”</w:t>
      </w:r>
      <w:r>
        <w:rPr>
          <w:rFonts w:ascii="Arial" w:hAnsi="Arial" w:cs="Arial"/>
          <w:sz w:val="20"/>
        </w:rPr>
        <w:t xml:space="preserve"> (p.46)</w:t>
      </w:r>
      <w:r>
        <w:rPr>
          <w:rStyle w:val="Refdenotaalpie"/>
          <w:rFonts w:ascii="Arial" w:hAnsi="Arial" w:cs="Arial"/>
          <w:sz w:val="20"/>
        </w:rPr>
        <w:footnoteReference w:id="56"/>
      </w:r>
    </w:p>
    <w:p w14:paraId="104DEC4A" w14:textId="04F38418" w:rsidR="004361ED" w:rsidRDefault="004361ED" w:rsidP="004361ED">
      <w:pPr>
        <w:spacing w:line="360" w:lineRule="auto"/>
        <w:jc w:val="both"/>
        <w:rPr>
          <w:rFonts w:ascii="Arial" w:hAnsi="Arial" w:cs="Arial"/>
        </w:rPr>
      </w:pPr>
      <w:r>
        <w:rPr>
          <w:rFonts w:ascii="Arial" w:hAnsi="Arial" w:cs="Arial"/>
        </w:rPr>
        <w:t>Adicionalmente, la Ciudad de México, el Estado de México y Jalisco son las entidades con mayor porcentaje de intervenciones quirúrgicas (12.2%, 8.3% y 6.8%, correspondientemente); al respecto destaca el caso de Jalisco, pues su tasa de anestesiólogos es de 0.92 especialistas por 10,000 habitas, lo cual señala una alta carga de trabajo para cirujanos y anestesiólogos en la entidad</w:t>
      </w:r>
      <w:r>
        <w:rPr>
          <w:rStyle w:val="Refdenotaalpie"/>
          <w:rFonts w:ascii="Arial" w:hAnsi="Arial" w:cs="Arial"/>
        </w:rPr>
        <w:footnoteReference w:id="57"/>
      </w:r>
      <w:r>
        <w:rPr>
          <w:rFonts w:ascii="Arial" w:hAnsi="Arial" w:cs="Arial"/>
        </w:rPr>
        <w:t>. Respecto al número de quirófanos disponibles, nuevamente la Ciudad de México es la que tiene mayor tasa (0.72 por cada 10,000 habitantes), en contraste, el Estado de México es la entidad con menor relación de quirófanos según su volumen poblacional, tan sólo 0.19</w:t>
      </w:r>
      <w:r>
        <w:rPr>
          <w:rStyle w:val="Refdenotaalpie"/>
          <w:rFonts w:ascii="Arial" w:hAnsi="Arial" w:cs="Arial"/>
        </w:rPr>
        <w:footnoteReference w:id="58"/>
      </w:r>
      <w:r>
        <w:rPr>
          <w:rFonts w:ascii="Arial" w:hAnsi="Arial" w:cs="Arial"/>
        </w:rPr>
        <w:t xml:space="preserve">. </w:t>
      </w:r>
    </w:p>
    <w:p w14:paraId="0D1F2CB7" w14:textId="00033177" w:rsidR="005441D1" w:rsidRDefault="005441D1" w:rsidP="004361ED">
      <w:pPr>
        <w:spacing w:line="360" w:lineRule="auto"/>
        <w:jc w:val="both"/>
        <w:rPr>
          <w:rFonts w:ascii="Arial" w:hAnsi="Arial" w:cs="Arial"/>
        </w:rPr>
      </w:pPr>
    </w:p>
    <w:p w14:paraId="158D5290" w14:textId="77777777" w:rsidR="005441D1" w:rsidRDefault="005441D1" w:rsidP="004361ED">
      <w:pPr>
        <w:spacing w:line="360" w:lineRule="auto"/>
        <w:jc w:val="both"/>
        <w:rPr>
          <w:rFonts w:ascii="Arial" w:hAnsi="Arial" w:cs="Arial"/>
        </w:rPr>
      </w:pPr>
    </w:p>
    <w:p w14:paraId="186E8B4E" w14:textId="02ADA5DE" w:rsidR="004361ED" w:rsidRPr="004F18ED" w:rsidRDefault="004361ED" w:rsidP="004361ED">
      <w:pPr>
        <w:spacing w:line="360" w:lineRule="auto"/>
        <w:jc w:val="center"/>
        <w:rPr>
          <w:rFonts w:ascii="Arial" w:hAnsi="Arial" w:cs="Arial"/>
          <w:b/>
        </w:rPr>
      </w:pPr>
      <w:r w:rsidRPr="004F18ED">
        <w:rPr>
          <w:rFonts w:ascii="Arial" w:hAnsi="Arial" w:cs="Arial"/>
          <w:b/>
        </w:rPr>
        <w:lastRenderedPageBreak/>
        <w:t>Cuadro</w:t>
      </w:r>
      <w:r w:rsidR="005441D1">
        <w:rPr>
          <w:rFonts w:ascii="Arial" w:hAnsi="Arial" w:cs="Arial"/>
          <w:b/>
        </w:rPr>
        <w:t xml:space="preserve"> 9</w:t>
      </w:r>
      <w:r w:rsidRPr="004F18ED">
        <w:rPr>
          <w:rFonts w:ascii="Arial" w:hAnsi="Arial" w:cs="Arial"/>
          <w:b/>
        </w:rPr>
        <w:t>. Indicadores diversos en relación con la</w:t>
      </w:r>
      <w:r w:rsidR="00161A59">
        <w:rPr>
          <w:rFonts w:ascii="Arial" w:hAnsi="Arial" w:cs="Arial"/>
          <w:b/>
        </w:rPr>
        <w:t>s</w:t>
      </w:r>
      <w:r w:rsidRPr="004F18ED">
        <w:rPr>
          <w:rFonts w:ascii="Arial" w:hAnsi="Arial" w:cs="Arial"/>
          <w:b/>
        </w:rPr>
        <w:t xml:space="preserve"> </w:t>
      </w:r>
      <w:r w:rsidRPr="00161A59">
        <w:rPr>
          <w:rFonts w:ascii="Arial" w:hAnsi="Arial" w:cs="Arial"/>
          <w:b/>
        </w:rPr>
        <w:t>especialidad</w:t>
      </w:r>
      <w:r w:rsidR="00161A59" w:rsidRPr="00161A59">
        <w:rPr>
          <w:rFonts w:ascii="Arial" w:hAnsi="Arial" w:cs="Arial"/>
          <w:b/>
        </w:rPr>
        <w:t>es</w:t>
      </w:r>
      <w:r w:rsidRPr="00161A59">
        <w:rPr>
          <w:rFonts w:ascii="Arial" w:hAnsi="Arial" w:cs="Arial"/>
          <w:b/>
        </w:rPr>
        <w:t xml:space="preserve"> de Cirugía</w:t>
      </w:r>
      <w:r w:rsidR="00161A59" w:rsidRPr="00161A59">
        <w:rPr>
          <w:rFonts w:ascii="Arial" w:hAnsi="Arial" w:cs="Arial"/>
          <w:b/>
        </w:rPr>
        <w:t xml:space="preserve"> y Anestesiología</w:t>
      </w:r>
      <w:r w:rsidRPr="00161A59">
        <w:rPr>
          <w:rFonts w:ascii="Arial" w:hAnsi="Arial" w:cs="Arial"/>
          <w:b/>
        </w:rPr>
        <w:t xml:space="preserve"> en el sector público de México</w:t>
      </w:r>
      <w:r w:rsidRPr="004F18ED">
        <w:rPr>
          <w:rFonts w:ascii="Arial" w:hAnsi="Arial" w:cs="Arial"/>
          <w:b/>
        </w:rPr>
        <w:t xml:space="preserve">, </w:t>
      </w:r>
      <w:r>
        <w:rPr>
          <w:rFonts w:ascii="Arial" w:hAnsi="Arial" w:cs="Arial"/>
          <w:b/>
        </w:rPr>
        <w:t>2017.</w:t>
      </w:r>
    </w:p>
    <w:tbl>
      <w:tblPr>
        <w:tblW w:w="5804" w:type="dxa"/>
        <w:jc w:val="center"/>
        <w:tblCellMar>
          <w:left w:w="70" w:type="dxa"/>
          <w:right w:w="70" w:type="dxa"/>
        </w:tblCellMar>
        <w:tblLook w:val="04A0" w:firstRow="1" w:lastRow="0" w:firstColumn="1" w:lastColumn="0" w:noHBand="0" w:noVBand="1"/>
      </w:tblPr>
      <w:tblGrid>
        <w:gridCol w:w="1980"/>
        <w:gridCol w:w="1229"/>
        <w:gridCol w:w="1200"/>
        <w:gridCol w:w="1395"/>
      </w:tblGrid>
      <w:tr w:rsidR="004361ED" w:rsidRPr="004F6C7B" w14:paraId="7F3F2800" w14:textId="77777777" w:rsidTr="00B207D0">
        <w:trPr>
          <w:trHeight w:val="1500"/>
          <w:tblHeader/>
          <w:jc w:val="center"/>
        </w:trPr>
        <w:tc>
          <w:tcPr>
            <w:tcW w:w="1980" w:type="dxa"/>
            <w:tcBorders>
              <w:top w:val="single" w:sz="4" w:space="0" w:color="auto"/>
              <w:left w:val="single" w:sz="4" w:space="0" w:color="auto"/>
              <w:bottom w:val="single" w:sz="4" w:space="0" w:color="auto"/>
              <w:right w:val="single" w:sz="4" w:space="0" w:color="auto"/>
            </w:tcBorders>
            <w:shd w:val="clear" w:color="DDEBF7" w:fill="DDEBF7"/>
            <w:vAlign w:val="center"/>
            <w:hideMark/>
          </w:tcPr>
          <w:p w14:paraId="63E3008E" w14:textId="77777777" w:rsidR="004361ED" w:rsidRPr="004F6C7B" w:rsidRDefault="004361ED" w:rsidP="00B207D0">
            <w:pPr>
              <w:spacing w:after="0" w:line="240" w:lineRule="auto"/>
              <w:jc w:val="center"/>
              <w:rPr>
                <w:rFonts w:ascii="Calibri" w:eastAsia="Times New Roman" w:hAnsi="Calibri" w:cs="Times New Roman"/>
                <w:b/>
                <w:bCs/>
                <w:color w:val="000000"/>
                <w:sz w:val="20"/>
                <w:szCs w:val="20"/>
                <w:lang w:eastAsia="es-MX"/>
              </w:rPr>
            </w:pPr>
            <w:r w:rsidRPr="004F6C7B">
              <w:rPr>
                <w:rFonts w:ascii="Calibri" w:eastAsia="Times New Roman" w:hAnsi="Calibri" w:cs="Times New Roman"/>
                <w:b/>
                <w:bCs/>
                <w:color w:val="000000"/>
                <w:sz w:val="20"/>
                <w:szCs w:val="20"/>
                <w:lang w:eastAsia="es-MX"/>
              </w:rPr>
              <w:t>Entidad</w:t>
            </w:r>
          </w:p>
        </w:tc>
        <w:tc>
          <w:tcPr>
            <w:tcW w:w="1229" w:type="dxa"/>
            <w:tcBorders>
              <w:top w:val="single" w:sz="4" w:space="0" w:color="auto"/>
              <w:left w:val="nil"/>
              <w:bottom w:val="single" w:sz="4" w:space="0" w:color="auto"/>
              <w:right w:val="single" w:sz="4" w:space="0" w:color="auto"/>
            </w:tcBorders>
            <w:shd w:val="clear" w:color="DDEBF7" w:fill="DDEBF7"/>
            <w:vAlign w:val="center"/>
          </w:tcPr>
          <w:p w14:paraId="169943E5" w14:textId="77777777" w:rsidR="004361ED" w:rsidRPr="004F6C7B" w:rsidRDefault="004361ED" w:rsidP="00B207D0">
            <w:pPr>
              <w:spacing w:after="0" w:line="240" w:lineRule="auto"/>
              <w:jc w:val="center"/>
              <w:rPr>
                <w:rFonts w:ascii="Calibri" w:eastAsia="Times New Roman" w:hAnsi="Calibri" w:cs="Times New Roman"/>
                <w:b/>
                <w:bCs/>
                <w:color w:val="000000"/>
                <w:sz w:val="20"/>
                <w:szCs w:val="20"/>
                <w:lang w:eastAsia="es-MX"/>
              </w:rPr>
            </w:pPr>
            <w:r w:rsidRPr="004F6C7B">
              <w:rPr>
                <w:rFonts w:ascii="Calibri" w:eastAsia="Times New Roman" w:hAnsi="Calibri" w:cs="Times New Roman"/>
                <w:b/>
                <w:bCs/>
                <w:color w:val="000000"/>
                <w:sz w:val="20"/>
                <w:szCs w:val="20"/>
                <w:lang w:eastAsia="es-MX"/>
              </w:rPr>
              <w:t>Por</w:t>
            </w:r>
            <w:r>
              <w:rPr>
                <w:rFonts w:ascii="Calibri" w:eastAsia="Times New Roman" w:hAnsi="Calibri" w:cs="Times New Roman"/>
                <w:b/>
                <w:bCs/>
                <w:color w:val="000000"/>
                <w:sz w:val="20"/>
                <w:szCs w:val="20"/>
                <w:lang w:eastAsia="es-MX"/>
              </w:rPr>
              <w:t>centaje de servicios otorgados</w:t>
            </w:r>
          </w:p>
        </w:tc>
        <w:tc>
          <w:tcPr>
            <w:tcW w:w="1200" w:type="dxa"/>
            <w:tcBorders>
              <w:top w:val="single" w:sz="4" w:space="0" w:color="auto"/>
              <w:left w:val="single" w:sz="4" w:space="0" w:color="auto"/>
              <w:bottom w:val="single" w:sz="4" w:space="0" w:color="auto"/>
              <w:right w:val="single" w:sz="4" w:space="0" w:color="auto"/>
            </w:tcBorders>
            <w:shd w:val="clear" w:color="DDEBF7" w:fill="DDEBF7"/>
            <w:vAlign w:val="center"/>
            <w:hideMark/>
          </w:tcPr>
          <w:p w14:paraId="10CE68C8" w14:textId="77777777" w:rsidR="004361ED" w:rsidRPr="004F6C7B" w:rsidRDefault="004361ED" w:rsidP="00B207D0">
            <w:pPr>
              <w:spacing w:after="0" w:line="240" w:lineRule="auto"/>
              <w:jc w:val="center"/>
              <w:rPr>
                <w:rFonts w:ascii="Calibri" w:eastAsia="Times New Roman" w:hAnsi="Calibri" w:cs="Times New Roman"/>
                <w:b/>
                <w:bCs/>
                <w:color w:val="000000"/>
                <w:sz w:val="20"/>
                <w:szCs w:val="20"/>
                <w:lang w:eastAsia="es-MX"/>
              </w:rPr>
            </w:pPr>
            <w:r w:rsidRPr="004F6C7B">
              <w:rPr>
                <w:rFonts w:ascii="Calibri" w:eastAsia="Times New Roman" w:hAnsi="Calibri" w:cs="Times New Roman"/>
                <w:b/>
                <w:bCs/>
                <w:color w:val="000000"/>
                <w:sz w:val="20"/>
                <w:szCs w:val="20"/>
                <w:lang w:eastAsia="es-MX"/>
              </w:rPr>
              <w:t>Número de quirófanos por 10,000 habitantes</w:t>
            </w:r>
            <w:r>
              <w:rPr>
                <w:rFonts w:ascii="Calibri" w:eastAsia="Times New Roman" w:hAnsi="Calibri" w:cs="Times New Roman"/>
                <w:b/>
                <w:bCs/>
                <w:color w:val="000000"/>
                <w:sz w:val="20"/>
                <w:szCs w:val="20"/>
                <w:lang w:eastAsia="es-MX"/>
              </w:rPr>
              <w:t xml:space="preserve"> </w:t>
            </w:r>
          </w:p>
        </w:tc>
        <w:tc>
          <w:tcPr>
            <w:tcW w:w="1395" w:type="dxa"/>
            <w:tcBorders>
              <w:top w:val="single" w:sz="4" w:space="0" w:color="auto"/>
              <w:left w:val="nil"/>
              <w:bottom w:val="single" w:sz="4" w:space="0" w:color="auto"/>
              <w:right w:val="single" w:sz="4" w:space="0" w:color="auto"/>
            </w:tcBorders>
            <w:shd w:val="clear" w:color="DDEBF7" w:fill="DDEBF7"/>
            <w:vAlign w:val="center"/>
            <w:hideMark/>
          </w:tcPr>
          <w:p w14:paraId="59968A29" w14:textId="77777777" w:rsidR="004361ED" w:rsidRPr="004F6C7B" w:rsidRDefault="004361ED" w:rsidP="00B207D0">
            <w:pPr>
              <w:spacing w:after="0" w:line="240" w:lineRule="auto"/>
              <w:jc w:val="center"/>
              <w:rPr>
                <w:rFonts w:ascii="Calibri" w:eastAsia="Times New Roman" w:hAnsi="Calibri" w:cs="Times New Roman"/>
                <w:b/>
                <w:bCs/>
                <w:color w:val="000000"/>
                <w:sz w:val="20"/>
                <w:szCs w:val="20"/>
                <w:lang w:eastAsia="es-MX"/>
              </w:rPr>
            </w:pPr>
            <w:r w:rsidRPr="004F6C7B">
              <w:rPr>
                <w:rFonts w:ascii="Calibri" w:eastAsia="Times New Roman" w:hAnsi="Calibri" w:cs="Times New Roman"/>
                <w:b/>
                <w:bCs/>
                <w:color w:val="000000"/>
                <w:sz w:val="20"/>
                <w:szCs w:val="20"/>
                <w:lang w:eastAsia="es-MX"/>
              </w:rPr>
              <w:t>Número de Anestesiólogos por 10,000 habitantes</w:t>
            </w:r>
            <w:r>
              <w:rPr>
                <w:rFonts w:ascii="Calibri" w:eastAsia="Times New Roman" w:hAnsi="Calibri" w:cs="Times New Roman"/>
                <w:b/>
                <w:bCs/>
                <w:color w:val="000000"/>
                <w:sz w:val="20"/>
                <w:szCs w:val="20"/>
                <w:lang w:eastAsia="es-MX"/>
              </w:rPr>
              <w:t xml:space="preserve"> </w:t>
            </w:r>
          </w:p>
        </w:tc>
      </w:tr>
      <w:tr w:rsidR="004361ED" w:rsidRPr="004F6C7B" w14:paraId="74AAFD2D"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4EE716D"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Aguascalientes</w:t>
            </w:r>
          </w:p>
        </w:tc>
        <w:tc>
          <w:tcPr>
            <w:tcW w:w="1229" w:type="dxa"/>
            <w:tcBorders>
              <w:top w:val="single" w:sz="4" w:space="0" w:color="auto"/>
              <w:left w:val="nil"/>
              <w:bottom w:val="single" w:sz="4" w:space="0" w:color="auto"/>
              <w:right w:val="single" w:sz="4" w:space="0" w:color="auto"/>
            </w:tcBorders>
            <w:vAlign w:val="center"/>
          </w:tcPr>
          <w:p w14:paraId="3A822BF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1.5%</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2EDD02D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0.31</w:t>
            </w:r>
          </w:p>
        </w:tc>
        <w:tc>
          <w:tcPr>
            <w:tcW w:w="1395" w:type="dxa"/>
            <w:tcBorders>
              <w:top w:val="nil"/>
              <w:left w:val="nil"/>
              <w:bottom w:val="single" w:sz="4" w:space="0" w:color="auto"/>
              <w:right w:val="single" w:sz="4" w:space="0" w:color="auto"/>
            </w:tcBorders>
            <w:shd w:val="clear" w:color="auto" w:fill="auto"/>
            <w:noWrap/>
            <w:vAlign w:val="center"/>
            <w:hideMark/>
          </w:tcPr>
          <w:p w14:paraId="6FC1B0DD"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1.64</w:t>
            </w:r>
          </w:p>
        </w:tc>
      </w:tr>
      <w:tr w:rsidR="004361ED" w:rsidRPr="004F6C7B" w14:paraId="435DDB49"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5EBFA0F4"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Baja California</w:t>
            </w:r>
          </w:p>
        </w:tc>
        <w:tc>
          <w:tcPr>
            <w:tcW w:w="1229" w:type="dxa"/>
            <w:tcBorders>
              <w:top w:val="single" w:sz="4" w:space="0" w:color="auto"/>
              <w:left w:val="nil"/>
              <w:bottom w:val="single" w:sz="4" w:space="0" w:color="auto"/>
              <w:right w:val="single" w:sz="4" w:space="0" w:color="auto"/>
            </w:tcBorders>
            <w:vAlign w:val="center"/>
          </w:tcPr>
          <w:p w14:paraId="788EA959"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4.8%</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403AD1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0.30</w:t>
            </w:r>
          </w:p>
        </w:tc>
        <w:tc>
          <w:tcPr>
            <w:tcW w:w="1395" w:type="dxa"/>
            <w:tcBorders>
              <w:top w:val="nil"/>
              <w:left w:val="nil"/>
              <w:bottom w:val="single" w:sz="4" w:space="0" w:color="auto"/>
              <w:right w:val="single" w:sz="4" w:space="0" w:color="auto"/>
            </w:tcBorders>
            <w:shd w:val="clear" w:color="auto" w:fill="auto"/>
            <w:noWrap/>
            <w:vAlign w:val="center"/>
            <w:hideMark/>
          </w:tcPr>
          <w:p w14:paraId="6C13818C"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0.98</w:t>
            </w:r>
          </w:p>
        </w:tc>
      </w:tr>
      <w:tr w:rsidR="004361ED" w:rsidRPr="004F6C7B" w14:paraId="4AA9C3D1"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2B24A14"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Baja California Sur</w:t>
            </w:r>
          </w:p>
        </w:tc>
        <w:tc>
          <w:tcPr>
            <w:tcW w:w="1229" w:type="dxa"/>
            <w:tcBorders>
              <w:top w:val="single" w:sz="4" w:space="0" w:color="auto"/>
              <w:left w:val="nil"/>
              <w:bottom w:val="single" w:sz="4" w:space="0" w:color="auto"/>
              <w:right w:val="single" w:sz="4" w:space="0" w:color="auto"/>
            </w:tcBorders>
            <w:vAlign w:val="center"/>
          </w:tcPr>
          <w:p w14:paraId="0CD08A7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375D406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0.50</w:t>
            </w:r>
          </w:p>
        </w:tc>
        <w:tc>
          <w:tcPr>
            <w:tcW w:w="1395" w:type="dxa"/>
            <w:tcBorders>
              <w:top w:val="nil"/>
              <w:left w:val="nil"/>
              <w:bottom w:val="single" w:sz="4" w:space="0" w:color="auto"/>
              <w:right w:val="single" w:sz="4" w:space="0" w:color="auto"/>
            </w:tcBorders>
            <w:shd w:val="clear" w:color="auto" w:fill="auto"/>
            <w:noWrap/>
            <w:vAlign w:val="center"/>
            <w:hideMark/>
          </w:tcPr>
          <w:p w14:paraId="0F7D0808"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1.67</w:t>
            </w:r>
          </w:p>
        </w:tc>
      </w:tr>
      <w:tr w:rsidR="004361ED" w:rsidRPr="004F6C7B" w14:paraId="786C03CA"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DCA0982"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Campeche</w:t>
            </w:r>
          </w:p>
        </w:tc>
        <w:tc>
          <w:tcPr>
            <w:tcW w:w="1229" w:type="dxa"/>
            <w:tcBorders>
              <w:top w:val="single" w:sz="4" w:space="0" w:color="auto"/>
              <w:left w:val="nil"/>
              <w:bottom w:val="single" w:sz="4" w:space="0" w:color="auto"/>
              <w:right w:val="single" w:sz="4" w:space="0" w:color="auto"/>
            </w:tcBorders>
            <w:vAlign w:val="center"/>
          </w:tcPr>
          <w:p w14:paraId="7ADB9F3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5678A6EC"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0.47</w:t>
            </w:r>
          </w:p>
        </w:tc>
        <w:tc>
          <w:tcPr>
            <w:tcW w:w="1395" w:type="dxa"/>
            <w:tcBorders>
              <w:top w:val="nil"/>
              <w:left w:val="nil"/>
              <w:bottom w:val="single" w:sz="4" w:space="0" w:color="auto"/>
              <w:right w:val="single" w:sz="4" w:space="0" w:color="auto"/>
            </w:tcBorders>
            <w:shd w:val="clear" w:color="auto" w:fill="auto"/>
            <w:noWrap/>
            <w:vAlign w:val="center"/>
            <w:hideMark/>
          </w:tcPr>
          <w:p w14:paraId="6DA89BC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1.12</w:t>
            </w:r>
          </w:p>
        </w:tc>
      </w:tr>
      <w:tr w:rsidR="004361ED" w:rsidRPr="004F6C7B" w14:paraId="37C07001"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2DA6413"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Chiapas</w:t>
            </w:r>
          </w:p>
        </w:tc>
        <w:tc>
          <w:tcPr>
            <w:tcW w:w="1229" w:type="dxa"/>
            <w:tcBorders>
              <w:top w:val="single" w:sz="4" w:space="0" w:color="auto"/>
              <w:left w:val="nil"/>
              <w:bottom w:val="single" w:sz="4" w:space="0" w:color="auto"/>
              <w:right w:val="single" w:sz="4" w:space="0" w:color="auto"/>
            </w:tcBorders>
            <w:vAlign w:val="center"/>
          </w:tcPr>
          <w:p w14:paraId="6F3E2B4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2.9%</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3F103996"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0.26</w:t>
            </w:r>
          </w:p>
        </w:tc>
        <w:tc>
          <w:tcPr>
            <w:tcW w:w="1395" w:type="dxa"/>
            <w:tcBorders>
              <w:top w:val="nil"/>
              <w:left w:val="nil"/>
              <w:bottom w:val="single" w:sz="4" w:space="0" w:color="auto"/>
              <w:right w:val="single" w:sz="4" w:space="0" w:color="auto"/>
            </w:tcBorders>
            <w:shd w:val="clear" w:color="auto" w:fill="auto"/>
            <w:noWrap/>
            <w:vAlign w:val="center"/>
            <w:hideMark/>
          </w:tcPr>
          <w:p w14:paraId="6C7DF8D8"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0.71</w:t>
            </w:r>
          </w:p>
        </w:tc>
      </w:tr>
      <w:tr w:rsidR="004361ED" w:rsidRPr="004F6C7B" w14:paraId="64D96215"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C95A1D0"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Chihuahua</w:t>
            </w:r>
          </w:p>
        </w:tc>
        <w:tc>
          <w:tcPr>
            <w:tcW w:w="1229" w:type="dxa"/>
            <w:tcBorders>
              <w:top w:val="single" w:sz="4" w:space="0" w:color="auto"/>
              <w:left w:val="nil"/>
              <w:bottom w:val="single" w:sz="4" w:space="0" w:color="auto"/>
              <w:right w:val="single" w:sz="4" w:space="0" w:color="auto"/>
            </w:tcBorders>
            <w:vAlign w:val="center"/>
          </w:tcPr>
          <w:p w14:paraId="436DA565"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2.8%</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606EDED8"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0.36</w:t>
            </w:r>
          </w:p>
        </w:tc>
        <w:tc>
          <w:tcPr>
            <w:tcW w:w="1395" w:type="dxa"/>
            <w:tcBorders>
              <w:top w:val="nil"/>
              <w:left w:val="nil"/>
              <w:bottom w:val="single" w:sz="4" w:space="0" w:color="auto"/>
              <w:right w:val="single" w:sz="4" w:space="0" w:color="auto"/>
            </w:tcBorders>
            <w:shd w:val="clear" w:color="auto" w:fill="auto"/>
            <w:noWrap/>
            <w:vAlign w:val="center"/>
            <w:hideMark/>
          </w:tcPr>
          <w:p w14:paraId="1867E56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0.98</w:t>
            </w:r>
          </w:p>
        </w:tc>
      </w:tr>
      <w:tr w:rsidR="004361ED" w:rsidRPr="004F6C7B" w14:paraId="15C8B4EF"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294B785"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CDMX</w:t>
            </w:r>
          </w:p>
        </w:tc>
        <w:tc>
          <w:tcPr>
            <w:tcW w:w="1229" w:type="dxa"/>
            <w:tcBorders>
              <w:top w:val="single" w:sz="4" w:space="0" w:color="auto"/>
              <w:left w:val="nil"/>
              <w:bottom w:val="single" w:sz="4" w:space="0" w:color="auto"/>
              <w:right w:val="single" w:sz="4" w:space="0" w:color="auto"/>
            </w:tcBorders>
            <w:vAlign w:val="center"/>
          </w:tcPr>
          <w:p w14:paraId="1E510E69"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12.2%</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26A28241"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0.72</w:t>
            </w:r>
          </w:p>
        </w:tc>
        <w:tc>
          <w:tcPr>
            <w:tcW w:w="1395" w:type="dxa"/>
            <w:tcBorders>
              <w:top w:val="nil"/>
              <w:left w:val="nil"/>
              <w:bottom w:val="single" w:sz="4" w:space="0" w:color="auto"/>
              <w:right w:val="single" w:sz="4" w:space="0" w:color="auto"/>
            </w:tcBorders>
            <w:shd w:val="clear" w:color="auto" w:fill="auto"/>
            <w:noWrap/>
            <w:vAlign w:val="center"/>
            <w:hideMark/>
          </w:tcPr>
          <w:p w14:paraId="436BB342"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2.33</w:t>
            </w:r>
          </w:p>
        </w:tc>
      </w:tr>
      <w:tr w:rsidR="004361ED" w:rsidRPr="004F6C7B" w14:paraId="5B223E53"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FD1F304"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Coahuila</w:t>
            </w:r>
          </w:p>
        </w:tc>
        <w:tc>
          <w:tcPr>
            <w:tcW w:w="1229" w:type="dxa"/>
            <w:tcBorders>
              <w:top w:val="single" w:sz="4" w:space="0" w:color="auto"/>
              <w:left w:val="nil"/>
              <w:bottom w:val="single" w:sz="4" w:space="0" w:color="auto"/>
              <w:right w:val="single" w:sz="4" w:space="0" w:color="auto"/>
            </w:tcBorders>
            <w:vAlign w:val="center"/>
          </w:tcPr>
          <w:p w14:paraId="4464B127"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2.3%</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65ECF0B2"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0.47</w:t>
            </w:r>
          </w:p>
        </w:tc>
        <w:tc>
          <w:tcPr>
            <w:tcW w:w="1395" w:type="dxa"/>
            <w:tcBorders>
              <w:top w:val="nil"/>
              <w:left w:val="nil"/>
              <w:bottom w:val="single" w:sz="4" w:space="0" w:color="auto"/>
              <w:right w:val="single" w:sz="4" w:space="0" w:color="auto"/>
            </w:tcBorders>
            <w:shd w:val="clear" w:color="auto" w:fill="auto"/>
            <w:noWrap/>
            <w:vAlign w:val="center"/>
            <w:hideMark/>
          </w:tcPr>
          <w:p w14:paraId="4DDABA19"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1.23</w:t>
            </w:r>
          </w:p>
        </w:tc>
      </w:tr>
      <w:tr w:rsidR="004361ED" w:rsidRPr="004F6C7B" w14:paraId="2B60B242"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BBDEFE9"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Colima</w:t>
            </w:r>
          </w:p>
        </w:tc>
        <w:tc>
          <w:tcPr>
            <w:tcW w:w="1229" w:type="dxa"/>
            <w:tcBorders>
              <w:top w:val="single" w:sz="4" w:space="0" w:color="auto"/>
              <w:left w:val="nil"/>
              <w:bottom w:val="single" w:sz="4" w:space="0" w:color="auto"/>
              <w:right w:val="single" w:sz="4" w:space="0" w:color="auto"/>
            </w:tcBorders>
            <w:vAlign w:val="center"/>
          </w:tcPr>
          <w:p w14:paraId="50A99DDA"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0.6%</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61996B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0.48</w:t>
            </w:r>
          </w:p>
        </w:tc>
        <w:tc>
          <w:tcPr>
            <w:tcW w:w="1395" w:type="dxa"/>
            <w:tcBorders>
              <w:top w:val="nil"/>
              <w:left w:val="nil"/>
              <w:bottom w:val="single" w:sz="4" w:space="0" w:color="auto"/>
              <w:right w:val="single" w:sz="4" w:space="0" w:color="auto"/>
            </w:tcBorders>
            <w:shd w:val="clear" w:color="auto" w:fill="auto"/>
            <w:noWrap/>
            <w:vAlign w:val="center"/>
            <w:hideMark/>
          </w:tcPr>
          <w:p w14:paraId="6EB831F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1.46</w:t>
            </w:r>
          </w:p>
        </w:tc>
      </w:tr>
      <w:tr w:rsidR="004361ED" w:rsidRPr="004F6C7B" w14:paraId="0C18CD99"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7A3615F"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Durango</w:t>
            </w:r>
          </w:p>
        </w:tc>
        <w:tc>
          <w:tcPr>
            <w:tcW w:w="1229" w:type="dxa"/>
            <w:tcBorders>
              <w:top w:val="single" w:sz="4" w:space="0" w:color="auto"/>
              <w:left w:val="nil"/>
              <w:bottom w:val="single" w:sz="4" w:space="0" w:color="auto"/>
              <w:right w:val="single" w:sz="4" w:space="0" w:color="auto"/>
            </w:tcBorders>
            <w:vAlign w:val="center"/>
          </w:tcPr>
          <w:p w14:paraId="11DB59B9"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1.3%</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270DCA6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0.35</w:t>
            </w:r>
          </w:p>
        </w:tc>
        <w:tc>
          <w:tcPr>
            <w:tcW w:w="1395" w:type="dxa"/>
            <w:tcBorders>
              <w:top w:val="nil"/>
              <w:left w:val="nil"/>
              <w:bottom w:val="single" w:sz="4" w:space="0" w:color="auto"/>
              <w:right w:val="single" w:sz="4" w:space="0" w:color="auto"/>
            </w:tcBorders>
            <w:shd w:val="clear" w:color="auto" w:fill="auto"/>
            <w:noWrap/>
            <w:vAlign w:val="center"/>
            <w:hideMark/>
          </w:tcPr>
          <w:p w14:paraId="5719993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1.05</w:t>
            </w:r>
          </w:p>
        </w:tc>
      </w:tr>
      <w:tr w:rsidR="004361ED" w:rsidRPr="004F6C7B" w14:paraId="2E7083D7"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E94138A"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Guanajuato</w:t>
            </w:r>
          </w:p>
        </w:tc>
        <w:tc>
          <w:tcPr>
            <w:tcW w:w="1229" w:type="dxa"/>
            <w:tcBorders>
              <w:top w:val="single" w:sz="4" w:space="0" w:color="auto"/>
              <w:left w:val="nil"/>
              <w:bottom w:val="single" w:sz="4" w:space="0" w:color="auto"/>
              <w:right w:val="single" w:sz="4" w:space="0" w:color="auto"/>
            </w:tcBorders>
            <w:vAlign w:val="center"/>
          </w:tcPr>
          <w:p w14:paraId="01BE6E6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6.7%</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019D192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0.28</w:t>
            </w:r>
          </w:p>
        </w:tc>
        <w:tc>
          <w:tcPr>
            <w:tcW w:w="1395" w:type="dxa"/>
            <w:tcBorders>
              <w:top w:val="nil"/>
              <w:left w:val="nil"/>
              <w:bottom w:val="single" w:sz="4" w:space="0" w:color="auto"/>
              <w:right w:val="single" w:sz="4" w:space="0" w:color="auto"/>
            </w:tcBorders>
            <w:shd w:val="clear" w:color="auto" w:fill="auto"/>
            <w:noWrap/>
            <w:vAlign w:val="center"/>
            <w:hideMark/>
          </w:tcPr>
          <w:p w14:paraId="02DB3442"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0.95</w:t>
            </w:r>
          </w:p>
        </w:tc>
      </w:tr>
      <w:tr w:rsidR="004361ED" w:rsidRPr="004F6C7B" w14:paraId="35E4A50F"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D7E9AD8"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Guerrero</w:t>
            </w:r>
          </w:p>
        </w:tc>
        <w:tc>
          <w:tcPr>
            <w:tcW w:w="1229" w:type="dxa"/>
            <w:tcBorders>
              <w:top w:val="single" w:sz="4" w:space="0" w:color="auto"/>
              <w:left w:val="nil"/>
              <w:bottom w:val="single" w:sz="4" w:space="0" w:color="auto"/>
              <w:right w:val="single" w:sz="4" w:space="0" w:color="auto"/>
            </w:tcBorders>
            <w:vAlign w:val="center"/>
          </w:tcPr>
          <w:p w14:paraId="6D0714EA"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2.4%</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43BA3F4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0.30</w:t>
            </w:r>
          </w:p>
        </w:tc>
        <w:tc>
          <w:tcPr>
            <w:tcW w:w="1395" w:type="dxa"/>
            <w:tcBorders>
              <w:top w:val="nil"/>
              <w:left w:val="nil"/>
              <w:bottom w:val="single" w:sz="4" w:space="0" w:color="auto"/>
              <w:right w:val="single" w:sz="4" w:space="0" w:color="auto"/>
            </w:tcBorders>
            <w:shd w:val="clear" w:color="auto" w:fill="auto"/>
            <w:noWrap/>
            <w:vAlign w:val="center"/>
            <w:hideMark/>
          </w:tcPr>
          <w:p w14:paraId="5B1B003A"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0.87</w:t>
            </w:r>
          </w:p>
        </w:tc>
      </w:tr>
      <w:tr w:rsidR="004361ED" w:rsidRPr="004F6C7B" w14:paraId="5EBAE10F"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F9D112F"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Hidalgo</w:t>
            </w:r>
          </w:p>
        </w:tc>
        <w:tc>
          <w:tcPr>
            <w:tcW w:w="1229" w:type="dxa"/>
            <w:tcBorders>
              <w:top w:val="single" w:sz="4" w:space="0" w:color="auto"/>
              <w:left w:val="nil"/>
              <w:bottom w:val="single" w:sz="4" w:space="0" w:color="auto"/>
              <w:right w:val="single" w:sz="4" w:space="0" w:color="auto"/>
            </w:tcBorders>
            <w:vAlign w:val="center"/>
          </w:tcPr>
          <w:p w14:paraId="67A8FEA8"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2.1%</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593E50EA"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0.21</w:t>
            </w:r>
          </w:p>
        </w:tc>
        <w:tc>
          <w:tcPr>
            <w:tcW w:w="1395" w:type="dxa"/>
            <w:tcBorders>
              <w:top w:val="nil"/>
              <w:left w:val="nil"/>
              <w:bottom w:val="single" w:sz="4" w:space="0" w:color="auto"/>
              <w:right w:val="single" w:sz="4" w:space="0" w:color="auto"/>
            </w:tcBorders>
            <w:shd w:val="clear" w:color="auto" w:fill="auto"/>
            <w:noWrap/>
            <w:vAlign w:val="center"/>
            <w:hideMark/>
          </w:tcPr>
          <w:p w14:paraId="46B311B3"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0.71</w:t>
            </w:r>
          </w:p>
        </w:tc>
      </w:tr>
      <w:tr w:rsidR="004361ED" w:rsidRPr="004F6C7B" w14:paraId="6193C68B"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258DEE8"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Jalisco</w:t>
            </w:r>
          </w:p>
        </w:tc>
        <w:tc>
          <w:tcPr>
            <w:tcW w:w="1229" w:type="dxa"/>
            <w:tcBorders>
              <w:top w:val="single" w:sz="4" w:space="0" w:color="auto"/>
              <w:left w:val="nil"/>
              <w:bottom w:val="single" w:sz="4" w:space="0" w:color="auto"/>
              <w:right w:val="single" w:sz="4" w:space="0" w:color="auto"/>
            </w:tcBorders>
            <w:vAlign w:val="center"/>
          </w:tcPr>
          <w:p w14:paraId="666C37A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6.8%</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60A10066"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0.33</w:t>
            </w:r>
          </w:p>
        </w:tc>
        <w:tc>
          <w:tcPr>
            <w:tcW w:w="1395" w:type="dxa"/>
            <w:tcBorders>
              <w:top w:val="nil"/>
              <w:left w:val="nil"/>
              <w:bottom w:val="single" w:sz="4" w:space="0" w:color="auto"/>
              <w:right w:val="single" w:sz="4" w:space="0" w:color="auto"/>
            </w:tcBorders>
            <w:shd w:val="clear" w:color="auto" w:fill="auto"/>
            <w:noWrap/>
            <w:vAlign w:val="center"/>
            <w:hideMark/>
          </w:tcPr>
          <w:p w14:paraId="1B99425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0.92</w:t>
            </w:r>
          </w:p>
        </w:tc>
      </w:tr>
      <w:tr w:rsidR="004361ED" w:rsidRPr="004F6C7B" w14:paraId="5528A16D"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7D34BDC0"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México</w:t>
            </w:r>
          </w:p>
        </w:tc>
        <w:tc>
          <w:tcPr>
            <w:tcW w:w="1229" w:type="dxa"/>
            <w:tcBorders>
              <w:top w:val="single" w:sz="4" w:space="0" w:color="auto"/>
              <w:left w:val="nil"/>
              <w:bottom w:val="single" w:sz="4" w:space="0" w:color="auto"/>
              <w:right w:val="single" w:sz="4" w:space="0" w:color="auto"/>
            </w:tcBorders>
            <w:vAlign w:val="center"/>
          </w:tcPr>
          <w:p w14:paraId="6B60673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8.3%</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6C6545A1"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0.19</w:t>
            </w:r>
          </w:p>
        </w:tc>
        <w:tc>
          <w:tcPr>
            <w:tcW w:w="1395" w:type="dxa"/>
            <w:tcBorders>
              <w:top w:val="nil"/>
              <w:left w:val="nil"/>
              <w:bottom w:val="single" w:sz="4" w:space="0" w:color="auto"/>
              <w:right w:val="single" w:sz="4" w:space="0" w:color="auto"/>
            </w:tcBorders>
            <w:shd w:val="clear" w:color="auto" w:fill="auto"/>
            <w:noWrap/>
            <w:vAlign w:val="center"/>
            <w:hideMark/>
          </w:tcPr>
          <w:p w14:paraId="042D33C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0.80</w:t>
            </w:r>
          </w:p>
        </w:tc>
      </w:tr>
      <w:tr w:rsidR="004361ED" w:rsidRPr="004F6C7B" w14:paraId="683CF9C3"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2C5B2A9"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Michoacán</w:t>
            </w:r>
          </w:p>
        </w:tc>
        <w:tc>
          <w:tcPr>
            <w:tcW w:w="1229" w:type="dxa"/>
            <w:tcBorders>
              <w:top w:val="single" w:sz="4" w:space="0" w:color="auto"/>
              <w:left w:val="nil"/>
              <w:bottom w:val="single" w:sz="4" w:space="0" w:color="auto"/>
              <w:right w:val="single" w:sz="4" w:space="0" w:color="auto"/>
            </w:tcBorders>
            <w:vAlign w:val="center"/>
          </w:tcPr>
          <w:p w14:paraId="4563ABA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3.3%</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BBBF5BD"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0.26</w:t>
            </w:r>
          </w:p>
        </w:tc>
        <w:tc>
          <w:tcPr>
            <w:tcW w:w="1395" w:type="dxa"/>
            <w:tcBorders>
              <w:top w:val="nil"/>
              <w:left w:val="nil"/>
              <w:bottom w:val="single" w:sz="4" w:space="0" w:color="auto"/>
              <w:right w:val="single" w:sz="4" w:space="0" w:color="auto"/>
            </w:tcBorders>
            <w:shd w:val="clear" w:color="auto" w:fill="auto"/>
            <w:noWrap/>
            <w:vAlign w:val="center"/>
            <w:hideMark/>
          </w:tcPr>
          <w:p w14:paraId="14CF1A9F"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0.80</w:t>
            </w:r>
          </w:p>
        </w:tc>
      </w:tr>
      <w:tr w:rsidR="004361ED" w:rsidRPr="004F6C7B" w14:paraId="041952D4"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64689EE"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Morelos</w:t>
            </w:r>
          </w:p>
        </w:tc>
        <w:tc>
          <w:tcPr>
            <w:tcW w:w="1229" w:type="dxa"/>
            <w:tcBorders>
              <w:top w:val="single" w:sz="4" w:space="0" w:color="auto"/>
              <w:left w:val="nil"/>
              <w:bottom w:val="single" w:sz="4" w:space="0" w:color="auto"/>
              <w:right w:val="single" w:sz="4" w:space="0" w:color="auto"/>
            </w:tcBorders>
            <w:vAlign w:val="center"/>
          </w:tcPr>
          <w:p w14:paraId="5B262C0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1.3%</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6272F336"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0.25</w:t>
            </w:r>
          </w:p>
        </w:tc>
        <w:tc>
          <w:tcPr>
            <w:tcW w:w="1395" w:type="dxa"/>
            <w:tcBorders>
              <w:top w:val="nil"/>
              <w:left w:val="nil"/>
              <w:bottom w:val="single" w:sz="4" w:space="0" w:color="auto"/>
              <w:right w:val="single" w:sz="4" w:space="0" w:color="auto"/>
            </w:tcBorders>
            <w:shd w:val="clear" w:color="auto" w:fill="auto"/>
            <w:noWrap/>
            <w:vAlign w:val="center"/>
            <w:hideMark/>
          </w:tcPr>
          <w:p w14:paraId="6EE9381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0.96</w:t>
            </w:r>
          </w:p>
        </w:tc>
      </w:tr>
      <w:tr w:rsidR="004361ED" w:rsidRPr="004F6C7B" w14:paraId="2E7AB245"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5A8B305C"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Nayarit</w:t>
            </w:r>
          </w:p>
        </w:tc>
        <w:tc>
          <w:tcPr>
            <w:tcW w:w="1229" w:type="dxa"/>
            <w:tcBorders>
              <w:top w:val="single" w:sz="4" w:space="0" w:color="auto"/>
              <w:left w:val="nil"/>
              <w:bottom w:val="single" w:sz="4" w:space="0" w:color="auto"/>
              <w:right w:val="single" w:sz="4" w:space="0" w:color="auto"/>
            </w:tcBorders>
            <w:vAlign w:val="center"/>
          </w:tcPr>
          <w:p w14:paraId="28CB0CB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0.9%</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0B4AE4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0.30</w:t>
            </w:r>
          </w:p>
        </w:tc>
        <w:tc>
          <w:tcPr>
            <w:tcW w:w="1395" w:type="dxa"/>
            <w:tcBorders>
              <w:top w:val="nil"/>
              <w:left w:val="nil"/>
              <w:bottom w:val="single" w:sz="4" w:space="0" w:color="auto"/>
              <w:right w:val="single" w:sz="4" w:space="0" w:color="auto"/>
            </w:tcBorders>
            <w:shd w:val="clear" w:color="auto" w:fill="auto"/>
            <w:noWrap/>
            <w:vAlign w:val="center"/>
            <w:hideMark/>
          </w:tcPr>
          <w:p w14:paraId="7E8E26FD"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1.02</w:t>
            </w:r>
          </w:p>
        </w:tc>
      </w:tr>
      <w:tr w:rsidR="004361ED" w:rsidRPr="004F6C7B" w14:paraId="7C5C2884"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415CC5F"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Nuevo León</w:t>
            </w:r>
          </w:p>
        </w:tc>
        <w:tc>
          <w:tcPr>
            <w:tcW w:w="1229" w:type="dxa"/>
            <w:tcBorders>
              <w:top w:val="single" w:sz="4" w:space="0" w:color="auto"/>
              <w:left w:val="nil"/>
              <w:bottom w:val="single" w:sz="4" w:space="0" w:color="auto"/>
              <w:right w:val="single" w:sz="4" w:space="0" w:color="auto"/>
            </w:tcBorders>
            <w:vAlign w:val="center"/>
          </w:tcPr>
          <w:p w14:paraId="434E210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4.4%</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2756763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0.31</w:t>
            </w:r>
          </w:p>
        </w:tc>
        <w:tc>
          <w:tcPr>
            <w:tcW w:w="1395" w:type="dxa"/>
            <w:tcBorders>
              <w:top w:val="nil"/>
              <w:left w:val="nil"/>
              <w:bottom w:val="single" w:sz="4" w:space="0" w:color="auto"/>
              <w:right w:val="single" w:sz="4" w:space="0" w:color="auto"/>
            </w:tcBorders>
            <w:shd w:val="clear" w:color="auto" w:fill="auto"/>
            <w:noWrap/>
            <w:vAlign w:val="center"/>
            <w:hideMark/>
          </w:tcPr>
          <w:p w14:paraId="3B02FACC"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1.01</w:t>
            </w:r>
          </w:p>
        </w:tc>
      </w:tr>
      <w:tr w:rsidR="004361ED" w:rsidRPr="004F6C7B" w14:paraId="16716D9F"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768B49EF"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Oaxaca</w:t>
            </w:r>
          </w:p>
        </w:tc>
        <w:tc>
          <w:tcPr>
            <w:tcW w:w="1229" w:type="dxa"/>
            <w:tcBorders>
              <w:top w:val="single" w:sz="4" w:space="0" w:color="auto"/>
              <w:left w:val="nil"/>
              <w:bottom w:val="single" w:sz="4" w:space="0" w:color="auto"/>
              <w:right w:val="single" w:sz="4" w:space="0" w:color="auto"/>
            </w:tcBorders>
            <w:vAlign w:val="center"/>
          </w:tcPr>
          <w:p w14:paraId="58A04AF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1.9%</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867AF6F"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0.27</w:t>
            </w:r>
          </w:p>
        </w:tc>
        <w:tc>
          <w:tcPr>
            <w:tcW w:w="1395" w:type="dxa"/>
            <w:tcBorders>
              <w:top w:val="nil"/>
              <w:left w:val="nil"/>
              <w:bottom w:val="single" w:sz="4" w:space="0" w:color="auto"/>
              <w:right w:val="single" w:sz="4" w:space="0" w:color="auto"/>
            </w:tcBorders>
            <w:shd w:val="clear" w:color="auto" w:fill="auto"/>
            <w:noWrap/>
            <w:vAlign w:val="center"/>
            <w:hideMark/>
          </w:tcPr>
          <w:p w14:paraId="5CC1EB6C"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0.84</w:t>
            </w:r>
          </w:p>
        </w:tc>
      </w:tr>
      <w:tr w:rsidR="004361ED" w:rsidRPr="004F6C7B" w14:paraId="6A4099BE"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8872902"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Puebla</w:t>
            </w:r>
          </w:p>
        </w:tc>
        <w:tc>
          <w:tcPr>
            <w:tcW w:w="1229" w:type="dxa"/>
            <w:tcBorders>
              <w:top w:val="single" w:sz="4" w:space="0" w:color="auto"/>
              <w:left w:val="nil"/>
              <w:bottom w:val="single" w:sz="4" w:space="0" w:color="auto"/>
              <w:right w:val="single" w:sz="4" w:space="0" w:color="auto"/>
            </w:tcBorders>
            <w:vAlign w:val="center"/>
          </w:tcPr>
          <w:p w14:paraId="143CE6B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6.3%</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7F6B4AF9"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0.37</w:t>
            </w:r>
          </w:p>
        </w:tc>
        <w:tc>
          <w:tcPr>
            <w:tcW w:w="1395" w:type="dxa"/>
            <w:tcBorders>
              <w:top w:val="nil"/>
              <w:left w:val="nil"/>
              <w:bottom w:val="single" w:sz="4" w:space="0" w:color="auto"/>
              <w:right w:val="single" w:sz="4" w:space="0" w:color="auto"/>
            </w:tcBorders>
            <w:shd w:val="clear" w:color="auto" w:fill="auto"/>
            <w:noWrap/>
            <w:vAlign w:val="center"/>
            <w:hideMark/>
          </w:tcPr>
          <w:p w14:paraId="52282C8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0.86</w:t>
            </w:r>
          </w:p>
        </w:tc>
      </w:tr>
      <w:tr w:rsidR="004361ED" w:rsidRPr="004F6C7B" w14:paraId="347700FE"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B570D67"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Querétaro</w:t>
            </w:r>
          </w:p>
        </w:tc>
        <w:tc>
          <w:tcPr>
            <w:tcW w:w="1229" w:type="dxa"/>
            <w:tcBorders>
              <w:top w:val="single" w:sz="4" w:space="0" w:color="auto"/>
              <w:left w:val="nil"/>
              <w:bottom w:val="single" w:sz="4" w:space="0" w:color="auto"/>
              <w:right w:val="single" w:sz="4" w:space="0" w:color="auto"/>
            </w:tcBorders>
            <w:vAlign w:val="center"/>
          </w:tcPr>
          <w:p w14:paraId="65A9FA2A"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1.4%</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44EEFD9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0.20</w:t>
            </w:r>
          </w:p>
        </w:tc>
        <w:tc>
          <w:tcPr>
            <w:tcW w:w="1395" w:type="dxa"/>
            <w:tcBorders>
              <w:top w:val="nil"/>
              <w:left w:val="nil"/>
              <w:bottom w:val="single" w:sz="4" w:space="0" w:color="auto"/>
              <w:right w:val="single" w:sz="4" w:space="0" w:color="auto"/>
            </w:tcBorders>
            <w:shd w:val="clear" w:color="auto" w:fill="auto"/>
            <w:noWrap/>
            <w:vAlign w:val="center"/>
            <w:hideMark/>
          </w:tcPr>
          <w:p w14:paraId="1F846081"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0.75</w:t>
            </w:r>
          </w:p>
        </w:tc>
      </w:tr>
      <w:tr w:rsidR="004361ED" w:rsidRPr="004F6C7B" w14:paraId="4F9EEDC4"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546DD8BA"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Quintana Roo</w:t>
            </w:r>
          </w:p>
        </w:tc>
        <w:tc>
          <w:tcPr>
            <w:tcW w:w="1229" w:type="dxa"/>
            <w:tcBorders>
              <w:top w:val="single" w:sz="4" w:space="0" w:color="auto"/>
              <w:left w:val="nil"/>
              <w:bottom w:val="single" w:sz="4" w:space="0" w:color="auto"/>
              <w:right w:val="single" w:sz="4" w:space="0" w:color="auto"/>
            </w:tcBorders>
            <w:vAlign w:val="center"/>
          </w:tcPr>
          <w:p w14:paraId="15204A37"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1.2%</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2CBD003"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0.31</w:t>
            </w:r>
          </w:p>
        </w:tc>
        <w:tc>
          <w:tcPr>
            <w:tcW w:w="1395" w:type="dxa"/>
            <w:tcBorders>
              <w:top w:val="nil"/>
              <w:left w:val="nil"/>
              <w:bottom w:val="single" w:sz="4" w:space="0" w:color="auto"/>
              <w:right w:val="single" w:sz="4" w:space="0" w:color="auto"/>
            </w:tcBorders>
            <w:shd w:val="clear" w:color="auto" w:fill="auto"/>
            <w:noWrap/>
            <w:vAlign w:val="center"/>
            <w:hideMark/>
          </w:tcPr>
          <w:p w14:paraId="2FF7C72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1.18</w:t>
            </w:r>
          </w:p>
        </w:tc>
      </w:tr>
      <w:tr w:rsidR="004361ED" w:rsidRPr="004F6C7B" w14:paraId="45988E8A"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F145B8F"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Sinaloa</w:t>
            </w:r>
          </w:p>
        </w:tc>
        <w:tc>
          <w:tcPr>
            <w:tcW w:w="1229" w:type="dxa"/>
            <w:tcBorders>
              <w:top w:val="single" w:sz="4" w:space="0" w:color="auto"/>
              <w:left w:val="nil"/>
              <w:bottom w:val="single" w:sz="4" w:space="0" w:color="auto"/>
              <w:right w:val="single" w:sz="4" w:space="0" w:color="auto"/>
            </w:tcBorders>
            <w:vAlign w:val="center"/>
          </w:tcPr>
          <w:p w14:paraId="6B09513E"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2.2%</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5F7E9EA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0.29</w:t>
            </w:r>
          </w:p>
        </w:tc>
        <w:tc>
          <w:tcPr>
            <w:tcW w:w="1395" w:type="dxa"/>
            <w:tcBorders>
              <w:top w:val="nil"/>
              <w:left w:val="nil"/>
              <w:bottom w:val="single" w:sz="4" w:space="0" w:color="auto"/>
              <w:right w:val="single" w:sz="4" w:space="0" w:color="auto"/>
            </w:tcBorders>
            <w:shd w:val="clear" w:color="auto" w:fill="auto"/>
            <w:noWrap/>
            <w:vAlign w:val="center"/>
            <w:hideMark/>
          </w:tcPr>
          <w:p w14:paraId="17983792"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0.81</w:t>
            </w:r>
          </w:p>
        </w:tc>
      </w:tr>
      <w:tr w:rsidR="004361ED" w:rsidRPr="004F6C7B" w14:paraId="37845C6D"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8A12E4F"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lastRenderedPageBreak/>
              <w:t>SLP</w:t>
            </w:r>
          </w:p>
        </w:tc>
        <w:tc>
          <w:tcPr>
            <w:tcW w:w="1229" w:type="dxa"/>
            <w:tcBorders>
              <w:top w:val="single" w:sz="4" w:space="0" w:color="auto"/>
              <w:left w:val="nil"/>
              <w:bottom w:val="single" w:sz="4" w:space="0" w:color="auto"/>
              <w:right w:val="single" w:sz="4" w:space="0" w:color="auto"/>
            </w:tcBorders>
            <w:vAlign w:val="center"/>
          </w:tcPr>
          <w:p w14:paraId="2A7A4EF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3.1%</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3133168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0.43</w:t>
            </w:r>
          </w:p>
        </w:tc>
        <w:tc>
          <w:tcPr>
            <w:tcW w:w="1395" w:type="dxa"/>
            <w:tcBorders>
              <w:top w:val="nil"/>
              <w:left w:val="nil"/>
              <w:bottom w:val="single" w:sz="4" w:space="0" w:color="auto"/>
              <w:right w:val="single" w:sz="4" w:space="0" w:color="auto"/>
            </w:tcBorders>
            <w:shd w:val="clear" w:color="auto" w:fill="auto"/>
            <w:noWrap/>
            <w:vAlign w:val="center"/>
            <w:hideMark/>
          </w:tcPr>
          <w:p w14:paraId="0FF4A5A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1.16</w:t>
            </w:r>
          </w:p>
        </w:tc>
      </w:tr>
      <w:tr w:rsidR="004361ED" w:rsidRPr="004F6C7B" w14:paraId="3B7B58CA"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BDA8A20"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Sonora</w:t>
            </w:r>
          </w:p>
        </w:tc>
        <w:tc>
          <w:tcPr>
            <w:tcW w:w="1229" w:type="dxa"/>
            <w:tcBorders>
              <w:top w:val="single" w:sz="4" w:space="0" w:color="auto"/>
              <w:left w:val="nil"/>
              <w:bottom w:val="single" w:sz="4" w:space="0" w:color="auto"/>
              <w:right w:val="single" w:sz="4" w:space="0" w:color="auto"/>
            </w:tcBorders>
            <w:vAlign w:val="center"/>
          </w:tcPr>
          <w:p w14:paraId="39F1E73C"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2.7%</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1040BB25"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0.51</w:t>
            </w:r>
          </w:p>
        </w:tc>
        <w:tc>
          <w:tcPr>
            <w:tcW w:w="1395" w:type="dxa"/>
            <w:tcBorders>
              <w:top w:val="nil"/>
              <w:left w:val="nil"/>
              <w:bottom w:val="single" w:sz="4" w:space="0" w:color="auto"/>
              <w:right w:val="single" w:sz="4" w:space="0" w:color="auto"/>
            </w:tcBorders>
            <w:shd w:val="clear" w:color="auto" w:fill="auto"/>
            <w:noWrap/>
            <w:vAlign w:val="center"/>
            <w:hideMark/>
          </w:tcPr>
          <w:p w14:paraId="1E5845D2"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1.55</w:t>
            </w:r>
          </w:p>
        </w:tc>
      </w:tr>
      <w:tr w:rsidR="004361ED" w:rsidRPr="004F6C7B" w14:paraId="45B0E577"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60A0C83"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Tabasco</w:t>
            </w:r>
          </w:p>
        </w:tc>
        <w:tc>
          <w:tcPr>
            <w:tcW w:w="1229" w:type="dxa"/>
            <w:tcBorders>
              <w:top w:val="single" w:sz="4" w:space="0" w:color="auto"/>
              <w:left w:val="nil"/>
              <w:bottom w:val="single" w:sz="4" w:space="0" w:color="auto"/>
              <w:right w:val="single" w:sz="4" w:space="0" w:color="auto"/>
            </w:tcBorders>
            <w:vAlign w:val="center"/>
          </w:tcPr>
          <w:p w14:paraId="4A8EA9DF"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1.7%</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5E17B743"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0.37</w:t>
            </w:r>
          </w:p>
        </w:tc>
        <w:tc>
          <w:tcPr>
            <w:tcW w:w="1395" w:type="dxa"/>
            <w:tcBorders>
              <w:top w:val="nil"/>
              <w:left w:val="nil"/>
              <w:bottom w:val="single" w:sz="4" w:space="0" w:color="auto"/>
              <w:right w:val="single" w:sz="4" w:space="0" w:color="auto"/>
            </w:tcBorders>
            <w:shd w:val="clear" w:color="auto" w:fill="auto"/>
            <w:noWrap/>
            <w:vAlign w:val="center"/>
            <w:hideMark/>
          </w:tcPr>
          <w:p w14:paraId="4EDE6AB8"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1.00</w:t>
            </w:r>
          </w:p>
        </w:tc>
      </w:tr>
      <w:tr w:rsidR="004361ED" w:rsidRPr="004F6C7B" w14:paraId="32414B86"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E5FF128"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Tamaulipas</w:t>
            </w:r>
          </w:p>
        </w:tc>
        <w:tc>
          <w:tcPr>
            <w:tcW w:w="1229" w:type="dxa"/>
            <w:tcBorders>
              <w:top w:val="single" w:sz="4" w:space="0" w:color="auto"/>
              <w:left w:val="nil"/>
              <w:bottom w:val="single" w:sz="4" w:space="0" w:color="auto"/>
              <w:right w:val="single" w:sz="4" w:space="0" w:color="auto"/>
            </w:tcBorders>
            <w:vAlign w:val="center"/>
          </w:tcPr>
          <w:p w14:paraId="31B346BA"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3.5%</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45AD1414"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0.39</w:t>
            </w:r>
          </w:p>
        </w:tc>
        <w:tc>
          <w:tcPr>
            <w:tcW w:w="1395" w:type="dxa"/>
            <w:tcBorders>
              <w:top w:val="nil"/>
              <w:left w:val="nil"/>
              <w:bottom w:val="single" w:sz="4" w:space="0" w:color="auto"/>
              <w:right w:val="single" w:sz="4" w:space="0" w:color="auto"/>
            </w:tcBorders>
            <w:shd w:val="clear" w:color="auto" w:fill="auto"/>
            <w:noWrap/>
            <w:vAlign w:val="center"/>
            <w:hideMark/>
          </w:tcPr>
          <w:p w14:paraId="1BE81A2F"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1.07</w:t>
            </w:r>
          </w:p>
        </w:tc>
      </w:tr>
      <w:tr w:rsidR="004361ED" w:rsidRPr="004F6C7B" w14:paraId="600189DC"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DFB3457"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Tlaxcala</w:t>
            </w:r>
          </w:p>
        </w:tc>
        <w:tc>
          <w:tcPr>
            <w:tcW w:w="1229" w:type="dxa"/>
            <w:tcBorders>
              <w:top w:val="single" w:sz="4" w:space="0" w:color="auto"/>
              <w:left w:val="nil"/>
              <w:bottom w:val="single" w:sz="4" w:space="0" w:color="auto"/>
              <w:right w:val="single" w:sz="4" w:space="0" w:color="auto"/>
            </w:tcBorders>
            <w:vAlign w:val="center"/>
          </w:tcPr>
          <w:p w14:paraId="7913AD37"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02E91F5B"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0.27</w:t>
            </w:r>
          </w:p>
        </w:tc>
        <w:tc>
          <w:tcPr>
            <w:tcW w:w="1395" w:type="dxa"/>
            <w:tcBorders>
              <w:top w:val="nil"/>
              <w:left w:val="nil"/>
              <w:bottom w:val="single" w:sz="4" w:space="0" w:color="auto"/>
              <w:right w:val="single" w:sz="4" w:space="0" w:color="auto"/>
            </w:tcBorders>
            <w:shd w:val="clear" w:color="auto" w:fill="auto"/>
            <w:noWrap/>
            <w:vAlign w:val="center"/>
            <w:hideMark/>
          </w:tcPr>
          <w:p w14:paraId="446489A6"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1.00</w:t>
            </w:r>
          </w:p>
        </w:tc>
      </w:tr>
      <w:tr w:rsidR="004361ED" w:rsidRPr="004F6C7B" w14:paraId="0C457C3D"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612A4A0"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Veracruz</w:t>
            </w:r>
          </w:p>
        </w:tc>
        <w:tc>
          <w:tcPr>
            <w:tcW w:w="1229" w:type="dxa"/>
            <w:tcBorders>
              <w:top w:val="single" w:sz="4" w:space="0" w:color="auto"/>
              <w:left w:val="nil"/>
              <w:bottom w:val="single" w:sz="4" w:space="0" w:color="auto"/>
              <w:right w:val="single" w:sz="4" w:space="0" w:color="auto"/>
            </w:tcBorders>
            <w:vAlign w:val="center"/>
          </w:tcPr>
          <w:p w14:paraId="04425097"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5.9%</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7F1A68C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0.31</w:t>
            </w:r>
          </w:p>
        </w:tc>
        <w:tc>
          <w:tcPr>
            <w:tcW w:w="1395" w:type="dxa"/>
            <w:tcBorders>
              <w:top w:val="nil"/>
              <w:left w:val="nil"/>
              <w:bottom w:val="single" w:sz="4" w:space="0" w:color="auto"/>
              <w:right w:val="single" w:sz="4" w:space="0" w:color="auto"/>
            </w:tcBorders>
            <w:shd w:val="clear" w:color="auto" w:fill="auto"/>
            <w:noWrap/>
            <w:vAlign w:val="center"/>
            <w:hideMark/>
          </w:tcPr>
          <w:p w14:paraId="33317AEC"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0.85</w:t>
            </w:r>
          </w:p>
        </w:tc>
      </w:tr>
      <w:tr w:rsidR="004361ED" w:rsidRPr="004F6C7B" w14:paraId="4893C0BF"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0BBF518"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Yucatán</w:t>
            </w:r>
          </w:p>
        </w:tc>
        <w:tc>
          <w:tcPr>
            <w:tcW w:w="1229" w:type="dxa"/>
            <w:tcBorders>
              <w:top w:val="single" w:sz="4" w:space="0" w:color="auto"/>
              <w:left w:val="nil"/>
              <w:bottom w:val="single" w:sz="4" w:space="0" w:color="auto"/>
              <w:right w:val="single" w:sz="4" w:space="0" w:color="auto"/>
            </w:tcBorders>
            <w:vAlign w:val="center"/>
          </w:tcPr>
          <w:p w14:paraId="25B677C1"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1.5%</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641CFF60"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0.34</w:t>
            </w:r>
          </w:p>
        </w:tc>
        <w:tc>
          <w:tcPr>
            <w:tcW w:w="1395" w:type="dxa"/>
            <w:tcBorders>
              <w:top w:val="nil"/>
              <w:left w:val="nil"/>
              <w:bottom w:val="single" w:sz="4" w:space="0" w:color="auto"/>
              <w:right w:val="single" w:sz="4" w:space="0" w:color="auto"/>
            </w:tcBorders>
            <w:shd w:val="clear" w:color="auto" w:fill="auto"/>
            <w:noWrap/>
            <w:vAlign w:val="center"/>
            <w:hideMark/>
          </w:tcPr>
          <w:p w14:paraId="477E0507"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1.15</w:t>
            </w:r>
          </w:p>
        </w:tc>
      </w:tr>
      <w:tr w:rsidR="004361ED" w:rsidRPr="004F6C7B" w14:paraId="69563DE8" w14:textId="77777777" w:rsidTr="00B207D0">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7564C1B" w14:textId="77777777" w:rsidR="004361ED" w:rsidRPr="004F6C7B" w:rsidRDefault="004361ED" w:rsidP="00B207D0">
            <w:pPr>
              <w:spacing w:after="0" w:line="240" w:lineRule="auto"/>
              <w:jc w:val="center"/>
              <w:rPr>
                <w:rFonts w:ascii="Calibri" w:eastAsia="Times New Roman" w:hAnsi="Calibri" w:cs="Times New Roman"/>
                <w:color w:val="000000"/>
                <w:sz w:val="20"/>
                <w:szCs w:val="20"/>
                <w:lang w:eastAsia="es-MX"/>
              </w:rPr>
            </w:pPr>
            <w:r w:rsidRPr="004F6C7B">
              <w:rPr>
                <w:rFonts w:ascii="Calibri" w:eastAsia="Times New Roman" w:hAnsi="Calibri" w:cs="Times New Roman"/>
                <w:color w:val="000000"/>
                <w:sz w:val="20"/>
                <w:szCs w:val="20"/>
                <w:lang w:eastAsia="es-MX"/>
              </w:rPr>
              <w:t>Zacatecas</w:t>
            </w:r>
          </w:p>
        </w:tc>
        <w:tc>
          <w:tcPr>
            <w:tcW w:w="1229" w:type="dxa"/>
            <w:tcBorders>
              <w:top w:val="single" w:sz="4" w:space="0" w:color="auto"/>
              <w:left w:val="nil"/>
              <w:bottom w:val="single" w:sz="4" w:space="0" w:color="auto"/>
              <w:right w:val="single" w:sz="4" w:space="0" w:color="auto"/>
            </w:tcBorders>
            <w:vAlign w:val="center"/>
          </w:tcPr>
          <w:p w14:paraId="74B29726"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1.4%</w:t>
            </w:r>
          </w:p>
        </w:tc>
        <w:tc>
          <w:tcPr>
            <w:tcW w:w="1200" w:type="dxa"/>
            <w:tcBorders>
              <w:top w:val="nil"/>
              <w:left w:val="single" w:sz="4" w:space="0" w:color="auto"/>
              <w:bottom w:val="single" w:sz="4" w:space="0" w:color="auto"/>
              <w:right w:val="single" w:sz="4" w:space="0" w:color="auto"/>
            </w:tcBorders>
            <w:shd w:val="clear" w:color="auto" w:fill="auto"/>
            <w:noWrap/>
            <w:vAlign w:val="center"/>
          </w:tcPr>
          <w:p w14:paraId="025D89DD"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0.31</w:t>
            </w:r>
          </w:p>
        </w:tc>
        <w:tc>
          <w:tcPr>
            <w:tcW w:w="1395" w:type="dxa"/>
            <w:tcBorders>
              <w:top w:val="nil"/>
              <w:left w:val="nil"/>
              <w:bottom w:val="single" w:sz="4" w:space="0" w:color="auto"/>
              <w:right w:val="single" w:sz="4" w:space="0" w:color="auto"/>
            </w:tcBorders>
            <w:shd w:val="clear" w:color="auto" w:fill="auto"/>
            <w:noWrap/>
            <w:vAlign w:val="center"/>
            <w:hideMark/>
          </w:tcPr>
          <w:p w14:paraId="597E9CE7" w14:textId="77777777" w:rsidR="004361ED" w:rsidRPr="004F6C7B" w:rsidRDefault="004361ED" w:rsidP="00B207D0">
            <w:pPr>
              <w:jc w:val="center"/>
              <w:rPr>
                <w:rFonts w:ascii="Calibri" w:hAnsi="Calibri"/>
                <w:color w:val="000000"/>
                <w:sz w:val="20"/>
                <w:szCs w:val="20"/>
              </w:rPr>
            </w:pPr>
            <w:r w:rsidRPr="004F6C7B">
              <w:rPr>
                <w:rFonts w:ascii="Calibri" w:hAnsi="Calibri"/>
                <w:color w:val="000000"/>
                <w:sz w:val="20"/>
                <w:szCs w:val="20"/>
              </w:rPr>
              <w:t>1.01</w:t>
            </w:r>
          </w:p>
        </w:tc>
      </w:tr>
    </w:tbl>
    <w:p w14:paraId="2C91E505" w14:textId="77777777" w:rsidR="004361ED" w:rsidRPr="00FC47B0" w:rsidRDefault="004361ED" w:rsidP="004361ED">
      <w:pPr>
        <w:spacing w:line="360" w:lineRule="auto"/>
        <w:ind w:left="1416"/>
        <w:jc w:val="both"/>
        <w:rPr>
          <w:rFonts w:ascii="Arial" w:hAnsi="Arial" w:cs="Arial"/>
          <w:sz w:val="18"/>
        </w:rPr>
      </w:pPr>
      <w:r w:rsidRPr="00FC47B0">
        <w:rPr>
          <w:rFonts w:ascii="Arial" w:hAnsi="Arial" w:cs="Arial"/>
          <w:b/>
          <w:sz w:val="18"/>
        </w:rPr>
        <w:t>Fuente:</w:t>
      </w:r>
      <w:r w:rsidRPr="00FC47B0">
        <w:rPr>
          <w:rFonts w:ascii="Arial" w:hAnsi="Arial" w:cs="Arial"/>
          <w:sz w:val="18"/>
        </w:rPr>
        <w:t xml:space="preserve"> Elaboración propia con base en SSA (s.f. a</w:t>
      </w:r>
      <w:r>
        <w:rPr>
          <w:rFonts w:ascii="Arial" w:hAnsi="Arial" w:cs="Arial"/>
          <w:sz w:val="18"/>
        </w:rPr>
        <w:t xml:space="preserve"> y 2019</w:t>
      </w:r>
      <w:r w:rsidRPr="00FC47B0">
        <w:rPr>
          <w:rFonts w:ascii="Arial" w:hAnsi="Arial" w:cs="Arial"/>
          <w:sz w:val="18"/>
        </w:rPr>
        <w:t>) y CONAPO (2018).</w:t>
      </w:r>
    </w:p>
    <w:p w14:paraId="740BAE54" w14:textId="77777777" w:rsidR="004361ED" w:rsidRDefault="004361ED" w:rsidP="004361ED">
      <w:pPr>
        <w:spacing w:after="0" w:line="360" w:lineRule="auto"/>
        <w:rPr>
          <w:rFonts w:ascii="Arial" w:hAnsi="Arial" w:cs="Arial"/>
        </w:rPr>
      </w:pPr>
    </w:p>
    <w:p w14:paraId="4F14581C" w14:textId="44B99A26" w:rsidR="004361ED" w:rsidRDefault="007F2968" w:rsidP="004361ED">
      <w:pPr>
        <w:spacing w:line="360" w:lineRule="auto"/>
        <w:jc w:val="both"/>
        <w:rPr>
          <w:rFonts w:ascii="Arial" w:hAnsi="Arial" w:cs="Arial"/>
        </w:rPr>
      </w:pPr>
      <w:r>
        <w:rPr>
          <w:rFonts w:ascii="Arial" w:hAnsi="Arial" w:cs="Arial"/>
        </w:rPr>
        <w:t>En conclusión, se puede afirmar que</w:t>
      </w:r>
      <w:r w:rsidR="004361ED">
        <w:rPr>
          <w:rFonts w:ascii="Arial" w:hAnsi="Arial" w:cs="Arial"/>
        </w:rPr>
        <w:t xml:space="preserve"> la anestesiología se ha convertido en una parte indivisible e indispensable del cuidado de la salud, de tal forma que ha alcanzado </w:t>
      </w:r>
      <w:r>
        <w:rPr>
          <w:rFonts w:ascii="Arial" w:hAnsi="Arial" w:cs="Arial"/>
        </w:rPr>
        <w:t>un importante</w:t>
      </w:r>
      <w:r w:rsidR="004361ED">
        <w:rPr>
          <w:rFonts w:ascii="Arial" w:hAnsi="Arial" w:cs="Arial"/>
        </w:rPr>
        <w:t xml:space="preserve"> desarrollo a partir de que ha avanzado técnica y tecnológicamente, salva vidas, palía el dolor e impulsa el crecimiento económico. Para cumplir las presentes y futuras demandas en salud de la población, es urgente invertir tanto en recursos humanos y físicos para el cuidado quirúrgico y anestésico. Buena parte de los avances que conforman el estado del arte de la anestesiología tienen que ver con una mayor formación de alta calidad, una mejor planeación quirúrgica y anestésica, el empleo de materiales y equipo que logran cumplir lo propuesto, mejores estrategias de anestesia, valoraciones preoperatorias más individualizadas y mejor cuidado posquirúrgico</w:t>
      </w:r>
      <w:r w:rsidR="004361ED">
        <w:rPr>
          <w:rStyle w:val="Refdenotaalpie"/>
          <w:rFonts w:ascii="Arial" w:hAnsi="Arial" w:cs="Arial"/>
        </w:rPr>
        <w:footnoteReference w:id="59"/>
      </w:r>
      <w:r w:rsidR="004361ED">
        <w:rPr>
          <w:rFonts w:ascii="Arial" w:hAnsi="Arial" w:cs="Arial"/>
        </w:rPr>
        <w:t>. El aumentar los recursos humanos y físicos de calidad ayudará a prevenir muertes, limitar discapacidades, palear el dolor, impulsar el crecimiento económico y ayudará a lograr máximas ganancias en la salud, bienestar y desarrollo para todos</w:t>
      </w:r>
      <w:r w:rsidR="004361ED">
        <w:rPr>
          <w:rStyle w:val="Refdenotaalpie"/>
          <w:rFonts w:ascii="Arial" w:hAnsi="Arial" w:cs="Arial"/>
        </w:rPr>
        <w:footnoteReference w:id="60"/>
      </w:r>
      <w:r w:rsidR="004361ED">
        <w:rPr>
          <w:rFonts w:ascii="Arial" w:hAnsi="Arial" w:cs="Arial"/>
        </w:rPr>
        <w:t xml:space="preserve">. Adicionalmente, las futuras generaciones de anestesiólogos –para ser vigentes– deberán tener una sólida formación, un ágil acceso a la información, a programas de educación continua por medios electrónicos, a la enseñanza virtual, a entrenamiento en simuladores y a producir conocimiento a través de la </w:t>
      </w:r>
      <w:r w:rsidR="004361ED">
        <w:rPr>
          <w:rFonts w:ascii="Arial" w:hAnsi="Arial" w:cs="Arial"/>
        </w:rPr>
        <w:lastRenderedPageBreak/>
        <w:t>investigación, así como a estar comprometidos en la enseñanza de la medicina y su especialidad, sin dejar de lado el entorno normativo, ético, moral y bioético que debe regir su desarrollo profesional</w:t>
      </w:r>
      <w:r w:rsidR="004361ED">
        <w:rPr>
          <w:rStyle w:val="Refdenotaalpie"/>
          <w:rFonts w:ascii="Arial" w:hAnsi="Arial" w:cs="Arial"/>
        </w:rPr>
        <w:footnoteReference w:id="61"/>
      </w:r>
      <w:r w:rsidR="004361ED">
        <w:rPr>
          <w:rFonts w:ascii="Arial" w:hAnsi="Arial" w:cs="Arial"/>
        </w:rPr>
        <w:t>.</w:t>
      </w:r>
    </w:p>
    <w:p w14:paraId="629191CA" w14:textId="77777777" w:rsidR="00CE6011" w:rsidRDefault="005B44CA" w:rsidP="004A1D76">
      <w:pPr>
        <w:spacing w:line="360" w:lineRule="auto"/>
        <w:jc w:val="both"/>
        <w:rPr>
          <w:rFonts w:ascii="Arial" w:hAnsi="Arial" w:cs="Arial"/>
          <w:b/>
        </w:rPr>
      </w:pPr>
      <w:r>
        <w:rPr>
          <w:rFonts w:ascii="Arial" w:hAnsi="Arial" w:cs="Arial"/>
          <w:b/>
        </w:rPr>
        <w:t>II</w:t>
      </w:r>
      <w:r w:rsidR="006046FB">
        <w:rPr>
          <w:rFonts w:ascii="Arial" w:hAnsi="Arial" w:cs="Arial"/>
          <w:b/>
        </w:rPr>
        <w:t>I</w:t>
      </w:r>
      <w:r>
        <w:rPr>
          <w:rFonts w:ascii="Arial" w:hAnsi="Arial" w:cs="Arial"/>
          <w:b/>
        </w:rPr>
        <w:t xml:space="preserve">. </w:t>
      </w:r>
      <w:r w:rsidR="00CE6011" w:rsidRPr="00CE6011">
        <w:rPr>
          <w:rFonts w:ascii="Arial" w:hAnsi="Arial" w:cs="Arial"/>
          <w:b/>
        </w:rPr>
        <w:t>MARCO NORMATIVO</w:t>
      </w:r>
    </w:p>
    <w:p w14:paraId="0592E879" w14:textId="3BB59E8D" w:rsidR="00CE6011" w:rsidRPr="00CA1BB8" w:rsidRDefault="009025AA" w:rsidP="00CE6011">
      <w:pPr>
        <w:spacing w:after="0" w:line="360" w:lineRule="auto"/>
        <w:jc w:val="both"/>
        <w:rPr>
          <w:rFonts w:ascii="Arial" w:hAnsi="Arial" w:cs="Arial"/>
          <w:b/>
          <w:smallCaps/>
          <w:color w:val="000000" w:themeColor="text1"/>
        </w:rPr>
      </w:pPr>
      <w:r>
        <w:rPr>
          <w:rFonts w:ascii="Arial" w:hAnsi="Arial" w:cs="Arial"/>
          <w:b/>
          <w:smallCaps/>
          <w:color w:val="000000" w:themeColor="text1"/>
        </w:rPr>
        <w:t xml:space="preserve">3.1. </w:t>
      </w:r>
      <w:r w:rsidR="00CE6011" w:rsidRPr="00CA1BB8">
        <w:rPr>
          <w:rFonts w:ascii="Arial" w:hAnsi="Arial" w:cs="Arial"/>
          <w:b/>
          <w:smallCaps/>
          <w:color w:val="000000" w:themeColor="text1"/>
        </w:rPr>
        <w:t>Constitución Política de los Estados Unidos Mexicanos</w:t>
      </w:r>
    </w:p>
    <w:p w14:paraId="6FED279F"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b/>
          <w:smallCaps/>
          <w:color w:val="000000" w:themeColor="text1"/>
        </w:rPr>
        <w:t>Artículo 3°</w:t>
      </w:r>
      <w:r w:rsidR="00DB4EE3">
        <w:rPr>
          <w:rFonts w:ascii="Arial" w:hAnsi="Arial" w:cs="Arial"/>
          <w:b/>
          <w:smallCaps/>
          <w:color w:val="000000" w:themeColor="text1"/>
        </w:rPr>
        <w:t xml:space="preserve"> </w:t>
      </w:r>
      <w:r w:rsidRPr="00E454FB">
        <w:rPr>
          <w:rStyle w:val="Refdenotaalpie"/>
          <w:rFonts w:ascii="Arial" w:hAnsi="Arial"/>
          <w:smallCaps/>
          <w:color w:val="000000" w:themeColor="text1"/>
        </w:rPr>
        <w:footnoteReference w:id="62"/>
      </w:r>
      <w:r w:rsidRPr="00CA1BB8">
        <w:rPr>
          <w:rFonts w:ascii="Arial" w:hAnsi="Arial" w:cs="Arial"/>
          <w:smallCaps/>
          <w:color w:val="000000" w:themeColor="text1"/>
        </w:rPr>
        <w:t>.</w:t>
      </w:r>
      <w:r w:rsidRPr="00CA1BB8">
        <w:rPr>
          <w:rFonts w:ascii="Arial" w:hAnsi="Arial" w:cs="Arial"/>
          <w:color w:val="000000" w:themeColor="text1"/>
        </w:rPr>
        <w:t xml:space="preserve"> Todo individuo tiene derecho a recibir Educación. El Estado –Federación, Estados, </w:t>
      </w:r>
      <w:r>
        <w:rPr>
          <w:rFonts w:ascii="Arial" w:hAnsi="Arial" w:cs="Arial"/>
          <w:color w:val="000000" w:themeColor="text1"/>
        </w:rPr>
        <w:t>Ciudad de México</w:t>
      </w:r>
      <w:r w:rsidRPr="00CA1BB8">
        <w:rPr>
          <w:rFonts w:ascii="Arial" w:hAnsi="Arial" w:cs="Arial"/>
          <w:color w:val="000000" w:themeColor="text1"/>
        </w:rPr>
        <w:t xml:space="preserve"> y Municipios–, </w:t>
      </w:r>
      <w:r w:rsidRPr="00E454FB">
        <w:rPr>
          <w:rFonts w:ascii="Arial" w:hAnsi="Arial" w:cs="Arial"/>
          <w:color w:val="000000" w:themeColor="text1"/>
        </w:rPr>
        <w:t>impartirá educación preescolar, primaria, secundaria y media superior. La educación preescolar, primaria y secundaria conforman la educación básica; ésta y la media superior serán obligatorias</w:t>
      </w:r>
      <w:r w:rsidRPr="00CA1BB8">
        <w:rPr>
          <w:rFonts w:ascii="Arial" w:hAnsi="Arial" w:cs="Arial"/>
          <w:color w:val="000000" w:themeColor="text1"/>
        </w:rPr>
        <w:t>.</w:t>
      </w:r>
    </w:p>
    <w:p w14:paraId="2134805F" w14:textId="30284B7F" w:rsidR="00CE6011" w:rsidRPr="00CA1BB8" w:rsidRDefault="00CE6011" w:rsidP="002E4264">
      <w:pPr>
        <w:spacing w:after="0" w:line="360" w:lineRule="auto"/>
        <w:jc w:val="both"/>
        <w:rPr>
          <w:rFonts w:ascii="Arial" w:hAnsi="Arial" w:cs="Arial"/>
          <w:color w:val="000000" w:themeColor="text1"/>
        </w:rPr>
      </w:pPr>
      <w:r w:rsidRPr="00E454FB">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Pr>
          <w:rStyle w:val="Refdenotaalpie"/>
          <w:rFonts w:ascii="Arial" w:hAnsi="Arial"/>
          <w:color w:val="000000" w:themeColor="text1"/>
        </w:rPr>
        <w:footnoteReference w:id="63"/>
      </w:r>
      <w:r w:rsidRPr="00E454FB">
        <w:rPr>
          <w:rFonts w:ascii="Arial" w:hAnsi="Arial" w:cs="Arial"/>
          <w:color w:val="000000" w:themeColor="text1"/>
        </w:rPr>
        <w:t>.</w:t>
      </w:r>
      <w:r w:rsidRPr="00CA1BB8">
        <w:rPr>
          <w:rFonts w:ascii="Arial" w:hAnsi="Arial" w:cs="Arial"/>
          <w:color w:val="000000" w:themeColor="text1"/>
        </w:rPr>
        <w:t xml:space="preserve"> </w:t>
      </w:r>
    </w:p>
    <w:p w14:paraId="374DAC5A" w14:textId="77777777" w:rsidR="00127A25" w:rsidRPr="00CA1BB8" w:rsidRDefault="00127A25" w:rsidP="00127A25">
      <w:pPr>
        <w:spacing w:after="0" w:line="360" w:lineRule="auto"/>
        <w:jc w:val="both"/>
        <w:rPr>
          <w:rFonts w:ascii="Arial" w:hAnsi="Arial" w:cs="Arial"/>
          <w:color w:val="000000" w:themeColor="text1"/>
          <w:lang w:eastAsia="es-MX"/>
        </w:rPr>
      </w:pPr>
      <w:r w:rsidRPr="00CA1BB8">
        <w:rPr>
          <w:rFonts w:ascii="Arial" w:hAnsi="Arial" w:cs="Arial"/>
          <w:color w:val="000000" w:themeColor="text1"/>
        </w:rPr>
        <w:t>I. Garantizada por el artículo 24 la libertad de creencias, dicha Educación será laica y, por tanto, se mantendrá por completo ajena a cualquier doctrina religiosa</w:t>
      </w:r>
      <w:r w:rsidRPr="00CA1BB8">
        <w:rPr>
          <w:rStyle w:val="Refdenotaalpie"/>
          <w:rFonts w:ascii="Arial" w:hAnsi="Arial" w:cs="Arial"/>
          <w:color w:val="000000" w:themeColor="text1"/>
        </w:rPr>
        <w:footnoteReference w:id="64"/>
      </w:r>
      <w:r w:rsidRPr="00CA1BB8">
        <w:rPr>
          <w:rFonts w:ascii="Arial" w:hAnsi="Arial" w:cs="Arial"/>
          <w:color w:val="000000" w:themeColor="text1"/>
        </w:rPr>
        <w:t xml:space="preserve">. </w:t>
      </w:r>
    </w:p>
    <w:p w14:paraId="39D9BC22" w14:textId="77777777" w:rsidR="00127A25" w:rsidRPr="00CA1BB8" w:rsidRDefault="00127A25" w:rsidP="00127A25">
      <w:pPr>
        <w:spacing w:after="0" w:line="360" w:lineRule="auto"/>
        <w:jc w:val="both"/>
        <w:rPr>
          <w:rFonts w:ascii="Arial" w:hAnsi="Arial" w:cs="Arial"/>
          <w:color w:val="000000" w:themeColor="text1"/>
          <w:lang w:eastAsia="es-MX"/>
        </w:rPr>
      </w:pPr>
      <w:r w:rsidRPr="00CA1BB8">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CA1BB8">
        <w:rPr>
          <w:rStyle w:val="Refdenotaalpie"/>
          <w:rFonts w:ascii="Arial" w:hAnsi="Arial" w:cs="Arial"/>
          <w:color w:val="000000" w:themeColor="text1"/>
        </w:rPr>
        <w:footnoteReference w:id="65"/>
      </w:r>
      <w:r w:rsidRPr="00CA1BB8">
        <w:rPr>
          <w:rFonts w:ascii="Arial" w:hAnsi="Arial" w:cs="Arial"/>
          <w:color w:val="000000" w:themeColor="text1"/>
        </w:rPr>
        <w:t xml:space="preserve">. </w:t>
      </w:r>
    </w:p>
    <w:p w14:paraId="07435223" w14:textId="77777777" w:rsidR="00127A25" w:rsidRPr="00CA1BB8" w:rsidRDefault="00127A25" w:rsidP="00127A25">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Además: </w:t>
      </w:r>
    </w:p>
    <w:p w14:paraId="3CB2B3CD" w14:textId="77777777" w:rsidR="00127A25" w:rsidRPr="00CA1BB8" w:rsidRDefault="00127A25" w:rsidP="00127A25">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14:paraId="2EA883F5" w14:textId="77777777" w:rsidR="00127A25" w:rsidRPr="00CA1BB8" w:rsidRDefault="00127A25" w:rsidP="00127A25">
      <w:pPr>
        <w:spacing w:after="0" w:line="360" w:lineRule="auto"/>
        <w:jc w:val="both"/>
        <w:rPr>
          <w:rFonts w:ascii="Arial" w:hAnsi="Arial" w:cs="Arial"/>
          <w:color w:val="000000" w:themeColor="text1"/>
          <w:lang w:eastAsia="es-MX"/>
        </w:rPr>
      </w:pPr>
      <w:r w:rsidRPr="00CA1BB8">
        <w:rPr>
          <w:rFonts w:ascii="Arial" w:hAnsi="Arial" w:cs="Arial"/>
          <w:color w:val="000000" w:themeColor="text1"/>
        </w:rPr>
        <w:t>B) Será Nacional,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w:t>
      </w:r>
      <w:r>
        <w:rPr>
          <w:rFonts w:ascii="Arial" w:hAnsi="Arial" w:cs="Arial"/>
          <w:color w:val="000000" w:themeColor="text1"/>
        </w:rPr>
        <w:t>ura y,</w:t>
      </w:r>
      <w:r w:rsidRPr="00CA1BB8">
        <w:rPr>
          <w:rFonts w:ascii="Arial" w:hAnsi="Arial" w:cs="Arial"/>
          <w:color w:val="000000" w:themeColor="text1"/>
        </w:rPr>
        <w:t xml:space="preserve"> C)..contribuirá a la mejor convivencia humana, a fin de fortalecer el aprecio y respeto por la diversidad cultural, la dignidad de la persona, la integridad de la familia, la convicción del </w:t>
      </w:r>
      <w:r w:rsidRPr="00CA1BB8">
        <w:rPr>
          <w:rFonts w:ascii="Arial" w:hAnsi="Arial" w:cs="Arial"/>
          <w:color w:val="000000" w:themeColor="text1"/>
        </w:rPr>
        <w:lastRenderedPageBreak/>
        <w:t>interés general de la sociedad, los ideales de fraternidad e igualdad de derechos de todos, evitando los privilegios de razas, de religión, de grupos, de sexos o de individuos</w:t>
      </w:r>
      <w:r w:rsidRPr="00CA1BB8">
        <w:rPr>
          <w:rStyle w:val="Refdenotaalpie"/>
          <w:rFonts w:ascii="Arial" w:hAnsi="Arial" w:cs="Arial"/>
          <w:color w:val="000000" w:themeColor="text1"/>
        </w:rPr>
        <w:footnoteReference w:id="66"/>
      </w:r>
      <w:r w:rsidRPr="00CA1BB8">
        <w:rPr>
          <w:rFonts w:ascii="Arial" w:hAnsi="Arial" w:cs="Arial"/>
          <w:color w:val="000000" w:themeColor="text1"/>
        </w:rPr>
        <w:t xml:space="preserve">. </w:t>
      </w:r>
    </w:p>
    <w:p w14:paraId="11DB2898" w14:textId="77777777" w:rsidR="00127A25" w:rsidRPr="00CA1BB8" w:rsidRDefault="00127A25" w:rsidP="00127A25">
      <w:pPr>
        <w:spacing w:after="0" w:line="360" w:lineRule="auto"/>
        <w:jc w:val="both"/>
        <w:rPr>
          <w:rFonts w:ascii="Arial" w:hAnsi="Arial" w:cs="Arial"/>
          <w:color w:val="000000" w:themeColor="text1"/>
          <w:lang w:eastAsia="es-MX"/>
        </w:rPr>
      </w:pPr>
    </w:p>
    <w:p w14:paraId="1FB119DA" w14:textId="77777777" w:rsidR="00127A25" w:rsidRPr="00CA1BB8" w:rsidRDefault="00127A25" w:rsidP="00127A25">
      <w:pPr>
        <w:spacing w:after="0" w:line="360" w:lineRule="auto"/>
        <w:jc w:val="both"/>
        <w:rPr>
          <w:rFonts w:ascii="Arial" w:hAnsi="Arial" w:cs="Arial"/>
          <w:color w:val="000000" w:themeColor="text1"/>
        </w:rPr>
      </w:pPr>
      <w:r w:rsidRPr="00CA1BB8">
        <w:rPr>
          <w:rFonts w:ascii="Arial" w:hAnsi="Arial" w:cs="Arial"/>
          <w:color w:val="000000" w:themeColor="text1"/>
        </w:rPr>
        <w:t>III. Para dar pleno cumplimiento a lo dispuesto en el segundo párrafo y en la fracción II el ejecutivo federal determinará los planes y programas de estudio de la Educación preescolar, primaria, secundaria y normal para toda la república, para tales efectos, el ejecutivo federal considerará la opinión de los gobiernos de las entidades federativas y del distrito federal, así como de los diversos sectores sociales involucrados en la Educación, en los términos que la ley señale</w:t>
      </w:r>
      <w:r w:rsidRPr="00CA1BB8">
        <w:rPr>
          <w:rStyle w:val="Refdenotaalpie"/>
          <w:rFonts w:ascii="Arial" w:hAnsi="Arial" w:cs="Arial"/>
          <w:color w:val="000000" w:themeColor="text1"/>
        </w:rPr>
        <w:footnoteReference w:id="67"/>
      </w:r>
      <w:r w:rsidRPr="00CA1BB8">
        <w:rPr>
          <w:rFonts w:ascii="Arial" w:hAnsi="Arial" w:cs="Arial"/>
          <w:color w:val="000000" w:themeColor="text1"/>
        </w:rPr>
        <w:t xml:space="preserve">. </w:t>
      </w:r>
    </w:p>
    <w:p w14:paraId="6839705F" w14:textId="77777777" w:rsidR="00127A25" w:rsidRPr="00127A25" w:rsidRDefault="00127A25" w:rsidP="00127A25">
      <w:pPr>
        <w:spacing w:after="0" w:line="360" w:lineRule="auto"/>
        <w:jc w:val="both"/>
        <w:rPr>
          <w:rFonts w:ascii="Arial" w:hAnsi="Arial" w:cs="Arial"/>
          <w:color w:val="000000" w:themeColor="text1"/>
          <w:sz w:val="8"/>
          <w:szCs w:val="8"/>
          <w:lang w:eastAsia="es-MX"/>
        </w:rPr>
      </w:pPr>
    </w:p>
    <w:p w14:paraId="762D7B73" w14:textId="7E98E4D8" w:rsidR="00CE6011" w:rsidRPr="00CA1BB8" w:rsidRDefault="00127A25" w:rsidP="00127A25">
      <w:pPr>
        <w:spacing w:after="0" w:line="360" w:lineRule="auto"/>
        <w:jc w:val="both"/>
        <w:rPr>
          <w:rFonts w:ascii="Arial" w:hAnsi="Arial" w:cs="Arial"/>
          <w:color w:val="000000" w:themeColor="text1"/>
        </w:rPr>
      </w:pPr>
      <w:r w:rsidRPr="00CA1BB8">
        <w:rPr>
          <w:rFonts w:ascii="Arial" w:hAnsi="Arial" w:cs="Arial"/>
          <w:color w:val="000000" w:themeColor="text1"/>
        </w:rPr>
        <w:t>IV. Toda la Educación que el estado imparta será gratuita</w:t>
      </w:r>
      <w:r w:rsidRPr="00CA1BB8">
        <w:rPr>
          <w:rStyle w:val="Refdenotaalpie"/>
          <w:rFonts w:ascii="Arial" w:hAnsi="Arial" w:cs="Arial"/>
          <w:color w:val="000000" w:themeColor="text1"/>
        </w:rPr>
        <w:footnoteReference w:id="68"/>
      </w:r>
      <w:r w:rsidRPr="00CA1BB8">
        <w:rPr>
          <w:rFonts w:ascii="Arial" w:hAnsi="Arial" w:cs="Arial"/>
          <w:color w:val="000000" w:themeColor="text1"/>
        </w:rPr>
        <w:t>.</w:t>
      </w:r>
      <w:r w:rsidR="00CE6011" w:rsidRPr="00CA1BB8">
        <w:rPr>
          <w:rFonts w:ascii="Arial" w:hAnsi="Arial" w:cs="Arial"/>
          <w:color w:val="000000" w:themeColor="text1"/>
        </w:rPr>
        <w:t xml:space="preserve"> </w:t>
      </w:r>
    </w:p>
    <w:p w14:paraId="49E5DACB"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VI. Los particulares podrán impartir </w:t>
      </w:r>
      <w:r>
        <w:rPr>
          <w:rFonts w:ascii="Arial" w:hAnsi="Arial" w:cs="Arial"/>
          <w:color w:val="000000" w:themeColor="text1"/>
        </w:rPr>
        <w:t>e</w:t>
      </w:r>
      <w:r w:rsidRPr="00CA1BB8">
        <w:rPr>
          <w:rFonts w:ascii="Arial" w:hAnsi="Arial" w:cs="Arial"/>
          <w:color w:val="000000" w:themeColor="text1"/>
        </w:rPr>
        <w:t>ducación en todos sus tipos y modalidades</w:t>
      </w:r>
      <w:r>
        <w:rPr>
          <w:rFonts w:ascii="Arial" w:hAnsi="Arial" w:cs="Arial"/>
          <w:color w:val="000000" w:themeColor="text1"/>
        </w:rPr>
        <w:t>. En</w:t>
      </w:r>
      <w:r w:rsidRPr="00CA1BB8">
        <w:rPr>
          <w:rFonts w:ascii="Arial" w:hAnsi="Arial" w:cs="Arial"/>
          <w:color w:val="000000" w:themeColor="text1"/>
        </w:rPr>
        <w:t xml:space="preserve"> los términos que establezca la ley, el </w:t>
      </w:r>
      <w:r>
        <w:rPr>
          <w:rFonts w:ascii="Arial" w:hAnsi="Arial" w:cs="Arial"/>
          <w:color w:val="000000" w:themeColor="text1"/>
        </w:rPr>
        <w:t>E</w:t>
      </w:r>
      <w:r w:rsidRPr="00CA1BB8">
        <w:rPr>
          <w:rFonts w:ascii="Arial" w:hAnsi="Arial" w:cs="Arial"/>
          <w:color w:val="000000" w:themeColor="text1"/>
        </w:rPr>
        <w:t>stado otorgará y reiterará el reconocimiento de validez oficial a los estudios que se realicen en planteles particulares</w:t>
      </w:r>
      <w:r>
        <w:rPr>
          <w:rFonts w:ascii="Arial" w:hAnsi="Arial" w:cs="Arial"/>
          <w:color w:val="000000" w:themeColor="text1"/>
        </w:rPr>
        <w:t>. E</w:t>
      </w:r>
      <w:r w:rsidRPr="00CA1BB8">
        <w:rPr>
          <w:rFonts w:ascii="Arial" w:hAnsi="Arial" w:cs="Arial"/>
          <w:color w:val="000000" w:themeColor="text1"/>
        </w:rPr>
        <w:t xml:space="preserve">n el caso de la </w:t>
      </w:r>
      <w:r>
        <w:rPr>
          <w:rFonts w:ascii="Arial" w:hAnsi="Arial" w:cs="Arial"/>
          <w:color w:val="000000" w:themeColor="text1"/>
        </w:rPr>
        <w:t>e</w:t>
      </w:r>
      <w:r w:rsidRPr="00CA1BB8">
        <w:rPr>
          <w:rFonts w:ascii="Arial" w:hAnsi="Arial" w:cs="Arial"/>
          <w:color w:val="000000" w:themeColor="text1"/>
        </w:rPr>
        <w:t>ducación preescolar, primaria, secundaria y normal, los particulares deberán</w:t>
      </w:r>
      <w:r>
        <w:rPr>
          <w:rFonts w:ascii="Arial" w:hAnsi="Arial" w:cs="Arial"/>
          <w:color w:val="000000" w:themeColor="text1"/>
        </w:rPr>
        <w:t>:</w:t>
      </w:r>
    </w:p>
    <w:p w14:paraId="12078CDE" w14:textId="77777777" w:rsidR="00CE6011" w:rsidRPr="00DB4EE3" w:rsidRDefault="00CE6011" w:rsidP="00CE6011">
      <w:pPr>
        <w:spacing w:after="0" w:line="360" w:lineRule="auto"/>
        <w:jc w:val="both"/>
        <w:rPr>
          <w:rFonts w:ascii="Arial" w:hAnsi="Arial" w:cs="Arial"/>
          <w:lang w:val="es-ES"/>
        </w:rPr>
      </w:pPr>
      <w:r w:rsidRPr="00DB4EE3">
        <w:rPr>
          <w:rFonts w:ascii="Arial" w:hAnsi="Arial" w:cs="Arial"/>
          <w:lang w:val="es-ES"/>
        </w:rPr>
        <w:t xml:space="preserve">a) Impartir la educación con apego a los mismos fines y criterios que establecen el segundo párrafo y la fracción II, así como cumplir los planes y programas a que se refiere la fracción III, y </w:t>
      </w:r>
    </w:p>
    <w:p w14:paraId="46B3E26F" w14:textId="06682713" w:rsidR="00CE6011" w:rsidRPr="00DB4EE3" w:rsidRDefault="00CE6011" w:rsidP="00CE6011">
      <w:pPr>
        <w:spacing w:after="0" w:line="360" w:lineRule="auto"/>
        <w:jc w:val="both"/>
        <w:rPr>
          <w:rFonts w:ascii="Arial" w:hAnsi="Arial" w:cs="Arial"/>
          <w:lang w:eastAsia="es-MX"/>
        </w:rPr>
      </w:pPr>
      <w:r w:rsidRPr="00DB4EE3">
        <w:rPr>
          <w:rFonts w:ascii="Arial" w:hAnsi="Arial" w:cs="Arial"/>
          <w:lang w:val="es-ES"/>
        </w:rPr>
        <w:t>b) Obtener previamente, en cada caso, la autorización expresa del poder público, en los términos que establezca la ley</w:t>
      </w:r>
      <w:r w:rsidR="00265A7D">
        <w:rPr>
          <w:rFonts w:ascii="Arial" w:hAnsi="Arial" w:cs="Arial"/>
          <w:lang w:val="es-ES"/>
        </w:rPr>
        <w:t>.</w:t>
      </w:r>
      <w:r w:rsidRPr="00DB4EE3">
        <w:rPr>
          <w:rFonts w:ascii="Arial" w:hAnsi="Arial" w:cs="Arial"/>
        </w:rPr>
        <w:t xml:space="preserve"> </w:t>
      </w:r>
    </w:p>
    <w:p w14:paraId="7E02A898" w14:textId="77777777" w:rsidR="00CE601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VII. Las </w:t>
      </w:r>
      <w:r>
        <w:rPr>
          <w:rFonts w:ascii="Arial" w:hAnsi="Arial" w:cs="Arial"/>
          <w:color w:val="000000" w:themeColor="text1"/>
        </w:rPr>
        <w:t>u</w:t>
      </w:r>
      <w:r w:rsidRPr="00CA1BB8">
        <w:rPr>
          <w:rFonts w:ascii="Arial" w:hAnsi="Arial" w:cs="Arial"/>
          <w:color w:val="000000" w:themeColor="text1"/>
        </w:rPr>
        <w:t xml:space="preserve">niversidades y las demás </w:t>
      </w:r>
      <w:r>
        <w:rPr>
          <w:rFonts w:ascii="Arial" w:hAnsi="Arial" w:cs="Arial"/>
          <w:color w:val="000000" w:themeColor="text1"/>
        </w:rPr>
        <w:t>i</w:t>
      </w:r>
      <w:r w:rsidRPr="00CA1BB8">
        <w:rPr>
          <w:rFonts w:ascii="Arial" w:hAnsi="Arial" w:cs="Arial"/>
          <w:color w:val="000000" w:themeColor="text1"/>
        </w:rPr>
        <w:t xml:space="preserve">nstituciones de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w:t>
      </w:r>
      <w:r>
        <w:rPr>
          <w:rFonts w:ascii="Arial" w:hAnsi="Arial" w:cs="Arial"/>
          <w:color w:val="000000" w:themeColor="text1"/>
        </w:rPr>
        <w:t>cusión de las ideas; determinará</w:t>
      </w:r>
      <w:r w:rsidRPr="00CA1BB8">
        <w:rPr>
          <w:rFonts w:ascii="Arial" w:hAnsi="Arial" w:cs="Arial"/>
          <w:color w:val="000000" w:themeColor="text1"/>
        </w:rPr>
        <w:t>n sus planes y programas; fijaran los términos de ingreso, promoción y permanencia de su personal académ</w:t>
      </w:r>
      <w:r>
        <w:rPr>
          <w:rFonts w:ascii="Arial" w:hAnsi="Arial" w:cs="Arial"/>
          <w:color w:val="000000" w:themeColor="text1"/>
        </w:rPr>
        <w:t>ico; y administrará</w:t>
      </w:r>
      <w:r w:rsidRPr="00CA1BB8">
        <w:rPr>
          <w:rFonts w:ascii="Arial" w:hAnsi="Arial" w:cs="Arial"/>
          <w:color w:val="000000" w:themeColor="text1"/>
        </w:rPr>
        <w:t>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CA1BB8">
        <w:rPr>
          <w:rStyle w:val="Refdenotaalpie"/>
          <w:rFonts w:ascii="Arial" w:hAnsi="Arial" w:cs="Arial"/>
          <w:color w:val="000000" w:themeColor="text1"/>
        </w:rPr>
        <w:footnoteReference w:id="69"/>
      </w:r>
      <w:r w:rsidRPr="00CA1BB8">
        <w:rPr>
          <w:rFonts w:ascii="Arial" w:hAnsi="Arial" w:cs="Arial"/>
          <w:color w:val="000000" w:themeColor="text1"/>
        </w:rPr>
        <w:t xml:space="preserve"> </w:t>
      </w:r>
    </w:p>
    <w:p w14:paraId="470ABB1E" w14:textId="77777777"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lastRenderedPageBreak/>
        <w:t xml:space="preserve">VIII. El Congreso de la Unión, con el fin de unificar y coordinar la </w:t>
      </w:r>
      <w:r>
        <w:rPr>
          <w:rFonts w:ascii="Arial" w:hAnsi="Arial" w:cs="Arial"/>
          <w:color w:val="000000" w:themeColor="text1"/>
        </w:rPr>
        <w:t>e</w:t>
      </w:r>
      <w:r w:rsidRPr="00CA1BB8">
        <w:rPr>
          <w:rFonts w:ascii="Arial" w:hAnsi="Arial" w:cs="Arial"/>
          <w:color w:val="000000" w:themeColor="text1"/>
        </w:rPr>
        <w:t xml:space="preserve">ducación en toda la República, expedirá las leyes necesarias destinadas a distribuir la función social educativa entre la Federación, los estados y los </w:t>
      </w:r>
      <w:r>
        <w:rPr>
          <w:rFonts w:ascii="Arial" w:hAnsi="Arial" w:cs="Arial"/>
          <w:color w:val="000000" w:themeColor="text1"/>
        </w:rPr>
        <w:t>M</w:t>
      </w:r>
      <w:r w:rsidRPr="00CA1BB8">
        <w:rPr>
          <w:rFonts w:ascii="Arial" w:hAnsi="Arial" w:cs="Arial"/>
          <w:color w:val="000000" w:themeColor="text1"/>
        </w:rPr>
        <w:t>unicipios, a fijar las aportaciones económicas correspondientes a ese servicio público y a señalar las sanciones aplicables a los funcionarios que no cumplan o no hagan cumplir las disposiciones relativas, lo mismo que a todos aquellos que las infrinjan</w:t>
      </w:r>
      <w:r w:rsidRPr="00CA1BB8">
        <w:rPr>
          <w:rStyle w:val="Refdenotaalpie"/>
          <w:rFonts w:ascii="Arial" w:hAnsi="Arial" w:cs="Arial"/>
          <w:color w:val="000000" w:themeColor="text1"/>
        </w:rPr>
        <w:footnoteReference w:id="70"/>
      </w:r>
      <w:r w:rsidRPr="00CA1BB8">
        <w:rPr>
          <w:rFonts w:ascii="Arial" w:hAnsi="Arial" w:cs="Arial"/>
          <w:color w:val="000000" w:themeColor="text1"/>
        </w:rPr>
        <w:t>.</w:t>
      </w:r>
    </w:p>
    <w:p w14:paraId="01B936F5"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shd w:val="clear" w:color="auto" w:fill="FFFFFF" w:themeFill="background1"/>
        </w:rPr>
        <w:t>Artículo 4°.</w:t>
      </w:r>
      <w:r w:rsidRPr="00CA1BB8">
        <w:rPr>
          <w:rFonts w:ascii="Arial" w:hAnsi="Arial" w:cs="Arial"/>
          <w:color w:val="000000" w:themeColor="text1"/>
        </w:rPr>
        <w:t xml:space="preserve"> …Toda persona tiene derecho a decidir de manera libre, responsable e informada sobre el número y el espaciamiento de sus hijos</w:t>
      </w:r>
      <w:r w:rsidRPr="00CA1BB8">
        <w:rPr>
          <w:rStyle w:val="Refdenotaalpie"/>
          <w:rFonts w:ascii="Arial" w:hAnsi="Arial" w:cs="Arial"/>
          <w:color w:val="000000" w:themeColor="text1"/>
        </w:rPr>
        <w:footnoteReference w:id="71"/>
      </w:r>
      <w:r w:rsidRPr="00CA1BB8">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CA1BB8">
        <w:rPr>
          <w:rStyle w:val="Refdenotaalpie"/>
          <w:rFonts w:ascii="Arial" w:hAnsi="Arial" w:cs="Arial"/>
          <w:color w:val="000000" w:themeColor="text1"/>
        </w:rPr>
        <w:footnoteReference w:id="72"/>
      </w:r>
      <w:r w:rsidRPr="00CA1BB8">
        <w:rPr>
          <w:rFonts w:ascii="Arial" w:hAnsi="Arial" w:cs="Arial"/>
          <w:color w:val="000000" w:themeColor="text1"/>
        </w:rPr>
        <w:t>.</w:t>
      </w:r>
    </w:p>
    <w:p w14:paraId="397E0C4D"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En los artículos anteriores se manifiesta el alineamiento a la normatividad planteada por la Constitución de nuestro país.</w:t>
      </w:r>
    </w:p>
    <w:p w14:paraId="2D77D134" w14:textId="77777777" w:rsidR="009025AA" w:rsidRDefault="009025AA" w:rsidP="00CE6011">
      <w:pPr>
        <w:spacing w:after="0" w:line="360" w:lineRule="auto"/>
        <w:jc w:val="both"/>
        <w:rPr>
          <w:rFonts w:ascii="Arial" w:hAnsi="Arial" w:cs="Arial"/>
          <w:color w:val="000000" w:themeColor="text1"/>
        </w:rPr>
      </w:pPr>
    </w:p>
    <w:p w14:paraId="01CF4EBE" w14:textId="77777777" w:rsidR="009025AA" w:rsidRDefault="009025AA" w:rsidP="00CE6011">
      <w:pPr>
        <w:spacing w:after="0" w:line="360" w:lineRule="auto"/>
        <w:jc w:val="both"/>
        <w:rPr>
          <w:rFonts w:ascii="Arial" w:hAnsi="Arial" w:cs="Arial"/>
          <w:b/>
          <w:smallCaps/>
          <w:color w:val="000000" w:themeColor="text1"/>
        </w:rPr>
      </w:pPr>
      <w:r w:rsidRPr="009025AA">
        <w:rPr>
          <w:rFonts w:ascii="Arial" w:hAnsi="Arial" w:cs="Arial"/>
          <w:b/>
          <w:color w:val="000000" w:themeColor="text1"/>
        </w:rPr>
        <w:t xml:space="preserve">3.2. </w:t>
      </w:r>
      <w:r w:rsidR="00CE6011" w:rsidRPr="00CA1BB8">
        <w:rPr>
          <w:rFonts w:ascii="Arial" w:hAnsi="Arial" w:cs="Arial"/>
          <w:b/>
          <w:smallCaps/>
          <w:color w:val="000000" w:themeColor="text1"/>
        </w:rPr>
        <w:t>Ley General de Educación</w:t>
      </w:r>
    </w:p>
    <w:p w14:paraId="33AAC1C3" w14:textId="090C6DD3"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Pr="00CA1BB8">
        <w:rPr>
          <w:rStyle w:val="Refdenotaalpie"/>
          <w:rFonts w:ascii="Arial" w:hAnsi="Arial" w:cs="Arial"/>
          <w:color w:val="000000" w:themeColor="text1"/>
        </w:rPr>
        <w:footnoteReference w:id="73"/>
      </w:r>
      <w:r w:rsidRPr="00CA1BB8">
        <w:rPr>
          <w:rFonts w:ascii="Arial" w:hAnsi="Arial" w:cs="Arial"/>
          <w:color w:val="000000" w:themeColor="text1"/>
        </w:rPr>
        <w:t>.</w:t>
      </w:r>
    </w:p>
    <w:p w14:paraId="38D833E0"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De igual manera se atiende esta </w:t>
      </w:r>
      <w:r>
        <w:rPr>
          <w:rFonts w:ascii="Arial" w:hAnsi="Arial" w:cs="Arial"/>
          <w:color w:val="000000" w:themeColor="text1"/>
        </w:rPr>
        <w:t>L</w:t>
      </w:r>
      <w:r w:rsidRPr="00CA1BB8">
        <w:rPr>
          <w:rFonts w:ascii="Arial" w:hAnsi="Arial" w:cs="Arial"/>
          <w:color w:val="000000" w:themeColor="text1"/>
        </w:rPr>
        <w:t>ey en lo referente a los Capítulos II, III y VI, en sus diferentes articulados donde se especifica lo siguiente:</w:t>
      </w:r>
    </w:p>
    <w:p w14:paraId="2AFE9C5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Capítulo ii. del federalismo educativo.</w:t>
      </w:r>
      <w:r w:rsidRPr="00CA1BB8">
        <w:rPr>
          <w:rFonts w:ascii="Arial" w:hAnsi="Arial" w:cs="Arial"/>
          <w:smallCaps/>
          <w:color w:val="000000" w:themeColor="text1"/>
        </w:rPr>
        <w:t xml:space="preserve"> </w:t>
      </w:r>
      <w:r w:rsidRPr="00CA1BB8">
        <w:rPr>
          <w:rFonts w:ascii="Arial" w:hAnsi="Arial" w:cs="Arial"/>
          <w:b/>
          <w:smallCaps/>
          <w:color w:val="000000" w:themeColor="text1"/>
        </w:rPr>
        <w:t>Artículo 24.-</w:t>
      </w:r>
      <w:r w:rsidRPr="00CA1BB8">
        <w:rPr>
          <w:rFonts w:ascii="Arial" w:hAnsi="Arial" w:cs="Arial"/>
          <w:smallCaps/>
          <w:color w:val="000000" w:themeColor="text1"/>
        </w:rPr>
        <w:t xml:space="preserve"> </w:t>
      </w:r>
      <w:r w:rsidRPr="00CA1BB8">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14:paraId="04C1A55C" w14:textId="77777777" w:rsidR="00CE6011" w:rsidRDefault="00CE6011" w:rsidP="00CE6011">
      <w:pPr>
        <w:spacing w:after="0" w:line="360" w:lineRule="auto"/>
        <w:jc w:val="both"/>
        <w:rPr>
          <w:rFonts w:ascii="Arial" w:hAnsi="Arial" w:cs="Arial"/>
          <w:b/>
          <w:smallCaps/>
          <w:color w:val="000000" w:themeColor="text1"/>
        </w:rPr>
      </w:pPr>
    </w:p>
    <w:p w14:paraId="13F15A6B"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sección cuarta.- de la evaluación del sistema educativo nacional</w:t>
      </w:r>
    </w:p>
    <w:p w14:paraId="2D2683DA" w14:textId="77777777" w:rsidR="00CE6011"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29.</w:t>
      </w:r>
      <w:r w:rsidRPr="00CA1BB8">
        <w:rPr>
          <w:rFonts w:ascii="Arial" w:hAnsi="Arial" w:cs="Arial"/>
          <w:b/>
          <w:color w:val="000000" w:themeColor="text1"/>
        </w:rPr>
        <w:t>-</w:t>
      </w:r>
      <w:r>
        <w:rPr>
          <w:rFonts w:ascii="Arial" w:hAnsi="Arial" w:cs="Arial"/>
          <w:color w:val="000000" w:themeColor="text1"/>
        </w:rPr>
        <w:t xml:space="preserve"> Corresponde a Instituto Nacional para la Evaluación de la Educación (…) </w:t>
      </w:r>
    </w:p>
    <w:p w14:paraId="399D18E3" w14:textId="77777777" w:rsidR="00CE6011" w:rsidRPr="006E17BC" w:rsidRDefault="00CE6011" w:rsidP="00CE6011">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lastRenderedPageBreak/>
        <w:t>III.- …</w:t>
      </w:r>
      <w:r w:rsidRPr="006E17BC">
        <w:rPr>
          <w:sz w:val="20"/>
          <w:szCs w:val="20"/>
        </w:rPr>
        <w:t xml:space="preserve"> </w:t>
      </w:r>
      <w:r w:rsidRPr="006E17BC">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14:paraId="5AD09C5F" w14:textId="77777777" w:rsidR="00CE6011" w:rsidRPr="006E17BC" w:rsidRDefault="00CE6011" w:rsidP="00CE6011">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14:paraId="100BD589"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30.-</w:t>
      </w:r>
      <w:r w:rsidRPr="00CA1BB8">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14:paraId="310BA743"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31.-</w:t>
      </w:r>
      <w:r w:rsidRPr="00CA1BB8">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14:paraId="271C7B8D" w14:textId="77777777" w:rsidR="00CE6011" w:rsidRDefault="00CE6011" w:rsidP="00CE6011">
      <w:pPr>
        <w:spacing w:after="0" w:line="360" w:lineRule="auto"/>
        <w:jc w:val="both"/>
        <w:rPr>
          <w:rFonts w:ascii="Arial" w:hAnsi="Arial" w:cs="Arial"/>
          <w:b/>
          <w:smallCaps/>
          <w:color w:val="000000" w:themeColor="text1"/>
        </w:rPr>
      </w:pPr>
    </w:p>
    <w:p w14:paraId="0ABC8B45" w14:textId="4DB09CC0"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capítulo iii de la equidad de la educación. sección </w:t>
      </w:r>
      <w:r w:rsidR="00FC657C" w:rsidRPr="00CA1BB8">
        <w:rPr>
          <w:rFonts w:ascii="Arial" w:hAnsi="Arial" w:cs="Arial"/>
          <w:b/>
          <w:smallCaps/>
          <w:color w:val="000000" w:themeColor="text1"/>
        </w:rPr>
        <w:t>SEGUNDA. -</w:t>
      </w:r>
      <w:r w:rsidRPr="00CA1BB8">
        <w:rPr>
          <w:rFonts w:ascii="Arial" w:hAnsi="Arial" w:cs="Arial"/>
          <w:b/>
          <w:smallCaps/>
          <w:color w:val="000000" w:themeColor="text1"/>
        </w:rPr>
        <w:t xml:space="preserve"> de los planes y programas de estudio.</w:t>
      </w:r>
    </w:p>
    <w:p w14:paraId="7E378EA2"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47.</w:t>
      </w:r>
      <w:r w:rsidRPr="00CA1BB8">
        <w:rPr>
          <w:rFonts w:ascii="Arial" w:hAnsi="Arial" w:cs="Arial"/>
          <w:b/>
          <w:color w:val="000000" w:themeColor="text1"/>
        </w:rPr>
        <w:t xml:space="preserve"> </w:t>
      </w:r>
      <w:r w:rsidRPr="00CA1BB8">
        <w:rPr>
          <w:rFonts w:ascii="Arial" w:hAnsi="Arial" w:cs="Arial"/>
          <w:color w:val="000000" w:themeColor="text1"/>
        </w:rPr>
        <w:t>Los contenidos de la educación serán definidos en planes y programas de estudio. En los planes de estudio deberán establecerse:</w:t>
      </w:r>
    </w:p>
    <w:p w14:paraId="3467E260" w14:textId="77777777" w:rsidR="00CE6011" w:rsidRPr="00CA1BB8" w:rsidRDefault="00CE6011" w:rsidP="00CE6011">
      <w:pPr>
        <w:pStyle w:val="Prrafodelista"/>
        <w:numPr>
          <w:ilvl w:val="0"/>
          <w:numId w:val="2"/>
        </w:numPr>
        <w:spacing w:after="0" w:line="360" w:lineRule="auto"/>
        <w:jc w:val="both"/>
        <w:rPr>
          <w:rFonts w:ascii="Arial" w:hAnsi="Arial" w:cs="Arial"/>
          <w:color w:val="000000" w:themeColor="text1"/>
        </w:rPr>
      </w:pPr>
      <w:r w:rsidRPr="006E17BC">
        <w:rPr>
          <w:rFonts w:ascii="Arial" w:hAnsi="Arial" w:cs="Arial"/>
          <w:color w:val="000000" w:themeColor="text1"/>
        </w:rPr>
        <w:t>Los propósitos de formación general y, en su caso, la adquisición de conocimientos, habilidades, capacidades y destrezas que correspondan a cada nivel educativo</w:t>
      </w:r>
      <w:r w:rsidRPr="00CA1BB8">
        <w:rPr>
          <w:rFonts w:ascii="Arial" w:hAnsi="Arial" w:cs="Arial"/>
          <w:color w:val="000000" w:themeColor="text1"/>
        </w:rPr>
        <w:t>;</w:t>
      </w:r>
    </w:p>
    <w:p w14:paraId="10644ABB" w14:textId="77777777"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14:paraId="729390D7" w14:textId="77777777"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Las secuencias indispensables que deben respetarse entre las asignaturas o unidades de aprendizaje que constituyen un nivel educativo, y</w:t>
      </w:r>
    </w:p>
    <w:p w14:paraId="22288F0E" w14:textId="77777777"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criterios y procedimientos de evaluación y acreditación para verificar que el educando cumple los propósitos de cada nivel educativo.</w:t>
      </w:r>
    </w:p>
    <w:p w14:paraId="0904C4C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En los programas de estudio deberán establecerse los propósitos específicos de aprendizaje de las asignaturas u otras unidades de aprendizaje dentro de un plan de </w:t>
      </w:r>
      <w:r w:rsidRPr="00CA1BB8">
        <w:rPr>
          <w:rFonts w:ascii="Arial" w:hAnsi="Arial" w:cs="Arial"/>
          <w:color w:val="000000" w:themeColor="text1"/>
        </w:rPr>
        <w:lastRenderedPageBreak/>
        <w:t>estudios, así como los criterios y procedimientos para evaluar y acreditar su cumplimiento. Podrán incluir sugerencia sobre métodos y actividades para alcanzar dichos propósitos.</w:t>
      </w:r>
    </w:p>
    <w:p w14:paraId="16FEFFE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Siendo la Universidad La Salle una Institución de Educación Privada se atiene en mayor medida a la normatividad especificada en el </w:t>
      </w:r>
      <w:r w:rsidRPr="00CA1BB8">
        <w:rPr>
          <w:rFonts w:ascii="Arial" w:hAnsi="Arial" w:cs="Arial"/>
          <w:b/>
          <w:smallCaps/>
          <w:color w:val="000000" w:themeColor="text1"/>
        </w:rPr>
        <w:t>capítulo v. de la educación que impartan los particulares</w:t>
      </w:r>
      <w:r w:rsidRPr="00CA1BB8">
        <w:rPr>
          <w:rFonts w:ascii="Arial" w:hAnsi="Arial" w:cs="Arial"/>
          <w:color w:val="000000" w:themeColor="text1"/>
        </w:rPr>
        <w:t>, que establece lo siguiente:</w:t>
      </w:r>
    </w:p>
    <w:p w14:paraId="4FAD3948" w14:textId="77777777" w:rsidR="00CE6011" w:rsidRDefault="00CE6011" w:rsidP="00CE6011">
      <w:pPr>
        <w:spacing w:after="0" w:line="360" w:lineRule="auto"/>
        <w:jc w:val="both"/>
        <w:rPr>
          <w:rFonts w:ascii="Arial" w:hAnsi="Arial" w:cs="Arial"/>
          <w:b/>
          <w:smallCaps/>
          <w:color w:val="000000" w:themeColor="text1"/>
        </w:rPr>
      </w:pPr>
    </w:p>
    <w:p w14:paraId="437B679B"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54.-</w:t>
      </w:r>
      <w:r w:rsidRPr="00CA1BB8">
        <w:rPr>
          <w:rFonts w:ascii="Arial" w:hAnsi="Arial" w:cs="Arial"/>
          <w:color w:val="000000" w:themeColor="text1"/>
        </w:rPr>
        <w:t xml:space="preserve"> Los particulares podrán impartir educación en todos sus tipos y modalidades.</w:t>
      </w:r>
    </w:p>
    <w:p w14:paraId="70428716" w14:textId="77777777" w:rsidR="00CE601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w:t>
      </w:r>
      <w:r>
        <w:rPr>
          <w:rFonts w:ascii="Arial" w:hAnsi="Arial" w:cs="Arial"/>
          <w:color w:val="000000" w:themeColor="text1"/>
        </w:rPr>
        <w:t>, t</w:t>
      </w:r>
      <w:r w:rsidRPr="00CA1BB8">
        <w:rPr>
          <w:rFonts w:ascii="Arial" w:hAnsi="Arial" w:cs="Arial"/>
          <w:color w:val="000000" w:themeColor="text1"/>
        </w:rPr>
        <w:t>ratándose de estudios distintos de los antes mencionados, podrá</w:t>
      </w:r>
      <w:r>
        <w:rPr>
          <w:rFonts w:ascii="Arial" w:hAnsi="Arial" w:cs="Arial"/>
          <w:color w:val="000000" w:themeColor="text1"/>
        </w:rPr>
        <w:t>n obtener el reconocimiento de v</w:t>
      </w:r>
      <w:r w:rsidRPr="00CA1BB8">
        <w:rPr>
          <w:rFonts w:ascii="Arial" w:hAnsi="Arial" w:cs="Arial"/>
          <w:color w:val="000000" w:themeColor="text1"/>
        </w:rPr>
        <w:t>al</w:t>
      </w:r>
      <w:r>
        <w:rPr>
          <w:rFonts w:ascii="Arial" w:hAnsi="Arial" w:cs="Arial"/>
          <w:color w:val="000000" w:themeColor="text1"/>
        </w:rPr>
        <w:t>i</w:t>
      </w:r>
      <w:r w:rsidRPr="00CA1BB8">
        <w:rPr>
          <w:rFonts w:ascii="Arial" w:hAnsi="Arial" w:cs="Arial"/>
          <w:color w:val="000000" w:themeColor="text1"/>
        </w:rPr>
        <w:t>dez oficial de estudios.</w:t>
      </w:r>
    </w:p>
    <w:p w14:paraId="434558C5"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14:paraId="566B481E"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14:paraId="6CBA9CD5" w14:textId="77777777" w:rsidR="00CE6011" w:rsidRDefault="00CE6011" w:rsidP="00CE6011">
      <w:pPr>
        <w:spacing w:after="0" w:line="360" w:lineRule="auto"/>
        <w:jc w:val="both"/>
        <w:rPr>
          <w:rFonts w:ascii="Arial" w:hAnsi="Arial" w:cs="Arial"/>
          <w:b/>
          <w:smallCaps/>
          <w:color w:val="000000" w:themeColor="text1"/>
        </w:rPr>
      </w:pPr>
    </w:p>
    <w:p w14:paraId="4E1F93D6"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55</w:t>
      </w:r>
      <w:r w:rsidRPr="00CA1BB8">
        <w:rPr>
          <w:rFonts w:ascii="Arial" w:hAnsi="Arial" w:cs="Arial"/>
          <w:smallCaps/>
          <w:color w:val="000000" w:themeColor="text1"/>
        </w:rPr>
        <w:t>.-</w:t>
      </w:r>
      <w:r w:rsidRPr="00CA1BB8">
        <w:rPr>
          <w:rFonts w:ascii="Arial" w:hAnsi="Arial" w:cs="Arial"/>
          <w:color w:val="000000" w:themeColor="text1"/>
        </w:rPr>
        <w:t xml:space="preserve"> las autorizaciones y los reconocimientos de validez oficial de estudios se otorgarán cuando los solicitantes cuenten:</w:t>
      </w:r>
    </w:p>
    <w:p w14:paraId="2C774758"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I.- </w:t>
      </w:r>
      <w:r w:rsidRPr="0087771B">
        <w:rPr>
          <w:rFonts w:ascii="Arial" w:hAnsi="Arial" w:cs="Arial"/>
          <w:color w:val="000000" w:themeColor="text1"/>
        </w:rPr>
        <w:t>Con personal que acredite la preparación adecuada para impartir educación y, en su caso, satisfagan los demás requisitos a que se refiere el artículo 21;</w:t>
      </w:r>
    </w:p>
    <w:p w14:paraId="76F8C332" w14:textId="77777777" w:rsidR="00CE6011" w:rsidRPr="0087771B" w:rsidRDefault="00CE6011" w:rsidP="00CE6011">
      <w:pPr>
        <w:spacing w:after="0" w:line="360" w:lineRule="auto"/>
        <w:ind w:left="705"/>
        <w:jc w:val="both"/>
        <w:rPr>
          <w:rFonts w:ascii="Arial" w:hAnsi="Arial" w:cs="Arial"/>
          <w:color w:val="000000" w:themeColor="text1"/>
        </w:rPr>
      </w:pPr>
      <w:r w:rsidRPr="0087771B">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14:paraId="40655943" w14:textId="77777777" w:rsidR="00CE6011" w:rsidRPr="0087771B" w:rsidRDefault="00CE6011" w:rsidP="00CE6011">
      <w:pPr>
        <w:spacing w:after="0" w:line="360" w:lineRule="auto"/>
        <w:ind w:left="705"/>
        <w:jc w:val="both"/>
        <w:rPr>
          <w:rFonts w:ascii="Arial" w:hAnsi="Arial" w:cs="Arial"/>
          <w:color w:val="000000" w:themeColor="text1"/>
        </w:rPr>
      </w:pPr>
      <w:r w:rsidRPr="0087771B">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14:paraId="0B1E422C"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57</w:t>
      </w:r>
      <w:r w:rsidRPr="00CA1BB8">
        <w:rPr>
          <w:rFonts w:ascii="Arial" w:hAnsi="Arial" w:cs="Arial"/>
          <w:b/>
          <w:color w:val="000000" w:themeColor="text1"/>
        </w:rPr>
        <w:t>.-</w:t>
      </w:r>
      <w:r w:rsidRPr="00CA1BB8">
        <w:rPr>
          <w:rFonts w:ascii="Arial" w:hAnsi="Arial" w:cs="Arial"/>
          <w:color w:val="000000" w:themeColor="text1"/>
        </w:rPr>
        <w:t xml:space="preserve"> Los particulares que impartan educación con autorización o con reconocimiento deberán:</w:t>
      </w:r>
    </w:p>
    <w:p w14:paraId="22DD5BDE"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 I.- </w:t>
      </w:r>
      <w:r w:rsidRPr="0087771B">
        <w:rPr>
          <w:rFonts w:ascii="Arial" w:hAnsi="Arial" w:cs="Arial"/>
          <w:color w:val="000000" w:themeColor="text1"/>
        </w:rPr>
        <w:t>Cumplir con lo dispuesto en el artículo 3o. de la Constitución Política de los Estados Unidos Mexicanos, en la presente Ley y demás disposiciones aplicables;</w:t>
      </w:r>
    </w:p>
    <w:p w14:paraId="211A0ADF"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lastRenderedPageBreak/>
        <w:t>II.- Cumplir con los planes y programas de estudio que las autoridades educativas competentes hayan determinado o considerado procedentes;</w:t>
      </w:r>
    </w:p>
    <w:p w14:paraId="7F1FE1D4"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III.- Proporcionar un mínimo de becas en los términos de los lineamientos generales que la autoridad que otorgue las autorizaciones o reconocimientos haya determinado;</w:t>
      </w:r>
    </w:p>
    <w:p w14:paraId="05277389"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IV.- Cumplir los requisitos previstos en el artículo 55, y</w:t>
      </w:r>
    </w:p>
    <w:p w14:paraId="55880970" w14:textId="77777777"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V.- Facilitar y colaborar en las actividades de evaluación, inspección y vigilancia que las autoridades competentes realicen u ordenen.</w:t>
      </w:r>
    </w:p>
    <w:p w14:paraId="5EDEF024" w14:textId="77777777" w:rsidR="00CE6011" w:rsidRPr="00CA1BB8" w:rsidRDefault="00CE6011" w:rsidP="00CE6011">
      <w:pPr>
        <w:spacing w:after="0" w:line="360" w:lineRule="auto"/>
        <w:jc w:val="both"/>
        <w:rPr>
          <w:rFonts w:ascii="Arial" w:hAnsi="Arial" w:cs="Arial"/>
          <w:b/>
          <w:smallCaps/>
          <w:color w:val="000000" w:themeColor="text1"/>
        </w:rPr>
      </w:pPr>
    </w:p>
    <w:p w14:paraId="29AF88D8" w14:textId="77777777" w:rsidR="00CE6011" w:rsidRPr="00CA1BB8" w:rsidRDefault="00CE6011" w:rsidP="00CE6011">
      <w:pPr>
        <w:spacing w:after="0" w:line="360" w:lineRule="auto"/>
        <w:jc w:val="both"/>
        <w:rPr>
          <w:rFonts w:ascii="Arial" w:hAnsi="Arial" w:cs="Arial"/>
          <w:smallCaps/>
          <w:color w:val="000000" w:themeColor="text1"/>
        </w:rPr>
      </w:pPr>
      <w:r w:rsidRPr="00CA1BB8">
        <w:rPr>
          <w:rFonts w:ascii="Arial" w:hAnsi="Arial" w:cs="Arial"/>
          <w:b/>
          <w:smallCaps/>
          <w:color w:val="000000" w:themeColor="text1"/>
        </w:rPr>
        <w:t xml:space="preserve">capítulo vi. de la validez oficial de estudios y de la certificación de conocimientos. </w:t>
      </w:r>
    </w:p>
    <w:p w14:paraId="4E21924C"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60.-</w:t>
      </w:r>
      <w:r w:rsidRPr="00CA1BB8">
        <w:rPr>
          <w:rFonts w:ascii="Arial" w:hAnsi="Arial" w:cs="Arial"/>
          <w:color w:val="000000" w:themeColor="text1"/>
        </w:rPr>
        <w:t xml:space="preserve"> Los estudios realizados dentro del </w:t>
      </w:r>
      <w:r>
        <w:rPr>
          <w:rFonts w:ascii="Arial" w:hAnsi="Arial" w:cs="Arial"/>
          <w:color w:val="000000" w:themeColor="text1"/>
        </w:rPr>
        <w:t>s</w:t>
      </w:r>
      <w:r w:rsidRPr="00CA1BB8">
        <w:rPr>
          <w:rFonts w:ascii="Arial" w:hAnsi="Arial" w:cs="Arial"/>
          <w:color w:val="000000" w:themeColor="text1"/>
        </w:rPr>
        <w:t xml:space="preserve">istema </w:t>
      </w:r>
      <w:r>
        <w:rPr>
          <w:rFonts w:ascii="Arial" w:hAnsi="Arial" w:cs="Arial"/>
          <w:color w:val="000000" w:themeColor="text1"/>
        </w:rPr>
        <w:t>e</w:t>
      </w:r>
      <w:r w:rsidRPr="00CA1BB8">
        <w:rPr>
          <w:rFonts w:ascii="Arial" w:hAnsi="Arial" w:cs="Arial"/>
          <w:color w:val="000000" w:themeColor="text1"/>
        </w:rPr>
        <w:t xml:space="preserve">ducativo </w:t>
      </w:r>
      <w:r>
        <w:rPr>
          <w:rFonts w:ascii="Arial" w:hAnsi="Arial" w:cs="Arial"/>
          <w:color w:val="000000" w:themeColor="text1"/>
        </w:rPr>
        <w:t>n</w:t>
      </w:r>
      <w:r w:rsidRPr="00CA1BB8">
        <w:rPr>
          <w:rFonts w:ascii="Arial" w:hAnsi="Arial" w:cs="Arial"/>
          <w:color w:val="000000" w:themeColor="text1"/>
        </w:rPr>
        <w:t>acional tendrán validez en toda la República.</w:t>
      </w:r>
    </w:p>
    <w:p w14:paraId="78F6408D" w14:textId="77777777" w:rsidR="00CE6011" w:rsidRPr="00785BE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w:t>
      </w:r>
      <w:r w:rsidRPr="00785BE1">
        <w:rPr>
          <w:rFonts w:ascii="Arial" w:hAnsi="Arial" w:cs="Arial"/>
          <w:color w:val="000000" w:themeColor="text1"/>
        </w:rPr>
        <w:t>Dichos certificados, constancias, diplomas, títulos y grados deberán registrarse en el Sistema de Información y Gestión Educativa y tendrán validez en toda la República.</w:t>
      </w:r>
    </w:p>
    <w:p w14:paraId="1A17645A"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Secretaría promoverá que los estudios con validez oficial en la República sean reconocidos en el extranjero.</w:t>
      </w:r>
    </w:p>
    <w:p w14:paraId="0E717F61" w14:textId="77777777" w:rsidR="00CE6011" w:rsidRPr="00CA1BB8" w:rsidRDefault="00CE6011" w:rsidP="00CE6011">
      <w:pPr>
        <w:spacing w:after="0" w:line="360" w:lineRule="auto"/>
        <w:jc w:val="both"/>
        <w:rPr>
          <w:rFonts w:ascii="Arial" w:hAnsi="Arial" w:cs="Arial"/>
          <w:color w:val="000000" w:themeColor="text1"/>
        </w:rPr>
      </w:pPr>
    </w:p>
    <w:p w14:paraId="333065EF"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ley reglamentaria del artículo 5º constitucional, relativo al ejercicio de las profesiones en </w:t>
      </w:r>
      <w:r>
        <w:rPr>
          <w:rFonts w:ascii="Arial" w:hAnsi="Arial" w:cs="Arial"/>
          <w:b/>
          <w:smallCaps/>
          <w:color w:val="000000" w:themeColor="text1"/>
        </w:rPr>
        <w:t>la Ciudad de México.</w:t>
      </w:r>
      <w:r>
        <w:rPr>
          <w:rStyle w:val="Refdenotaalpie"/>
          <w:rFonts w:ascii="Arial" w:hAnsi="Arial"/>
          <w:b/>
          <w:smallCaps/>
          <w:color w:val="000000" w:themeColor="text1"/>
        </w:rPr>
        <w:footnoteReference w:id="74"/>
      </w:r>
    </w:p>
    <w:p w14:paraId="7AD7237B"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w:t>
      </w:r>
      <w:r>
        <w:rPr>
          <w:rFonts w:ascii="Arial" w:hAnsi="Arial" w:cs="Arial"/>
          <w:b/>
          <w:smallCaps/>
          <w:color w:val="000000" w:themeColor="text1"/>
        </w:rPr>
        <w:t xml:space="preserve"> </w:t>
      </w:r>
      <w:r w:rsidRPr="00CA1BB8">
        <w:rPr>
          <w:rFonts w:ascii="Arial" w:hAnsi="Arial" w:cs="Arial"/>
          <w:b/>
          <w:smallCaps/>
          <w:color w:val="000000" w:themeColor="text1"/>
        </w:rPr>
        <w:t>condiciones que deben llenarse para obtener un título profesional</w:t>
      </w:r>
    </w:p>
    <w:p w14:paraId="2A791301" w14:textId="77777777" w:rsidR="00CE6011" w:rsidRDefault="00CE6011" w:rsidP="00CE6011">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8.-</w:t>
      </w:r>
      <w:r w:rsidRPr="00CA1BB8">
        <w:rPr>
          <w:rFonts w:ascii="Arial" w:hAnsi="Arial" w:cs="Arial"/>
          <w:color w:val="000000" w:themeColor="text1"/>
        </w:rPr>
        <w:t xml:space="preserve"> Para obtener un título profesional es indispensable acreditar que se han cumplido los requisitos académicos previstos por las leyes aplicables.</w:t>
      </w:r>
    </w:p>
    <w:p w14:paraId="01DAE7CE" w14:textId="77777777" w:rsidR="00CE6011" w:rsidRPr="00CA1BB8" w:rsidRDefault="00CE6011" w:rsidP="00CE6011">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9.-</w:t>
      </w:r>
      <w:r w:rsidRPr="00CA1BB8">
        <w:rPr>
          <w:rFonts w:ascii="Arial" w:hAnsi="Arial" w:cs="Arial"/>
          <w:color w:val="000000" w:themeColor="text1"/>
        </w:rPr>
        <w:t xml:space="preserve"> Para que pueda registrarse un título profesional expedido por </w:t>
      </w:r>
      <w:r>
        <w:rPr>
          <w:rFonts w:ascii="Arial" w:hAnsi="Arial" w:cs="Arial"/>
          <w:color w:val="000000" w:themeColor="text1"/>
        </w:rPr>
        <w:t>una</w:t>
      </w:r>
      <w:r w:rsidRPr="00CA1BB8">
        <w:rPr>
          <w:rFonts w:ascii="Arial" w:hAnsi="Arial" w:cs="Arial"/>
          <w:color w:val="000000" w:themeColor="text1"/>
        </w:rPr>
        <w:t xml:space="preserve"> institución que no forme parte del </w:t>
      </w:r>
      <w:r>
        <w:rPr>
          <w:rFonts w:ascii="Arial" w:hAnsi="Arial" w:cs="Arial"/>
          <w:color w:val="000000" w:themeColor="text1"/>
        </w:rPr>
        <w:t>S</w:t>
      </w:r>
      <w:r w:rsidRPr="00CA1BB8">
        <w:rPr>
          <w:rFonts w:ascii="Arial" w:hAnsi="Arial" w:cs="Arial"/>
          <w:color w:val="000000" w:themeColor="text1"/>
        </w:rPr>
        <w:t>istema Educativo Nacional será necesario que la Secretaría de Educación Pública revalide, en su caso, los estudios correspondientes y que el interesado acredite haber prestado servicio social.</w:t>
      </w:r>
    </w:p>
    <w:p w14:paraId="45FB8687"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iii instituciones autorizadas que deben expedir los títulos profesionales</w:t>
      </w:r>
    </w:p>
    <w:p w14:paraId="5D64C7D4"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sección primera títulos expedidos </w:t>
      </w:r>
      <w:r>
        <w:rPr>
          <w:rFonts w:ascii="Arial" w:hAnsi="Arial" w:cs="Arial"/>
          <w:b/>
          <w:smallCaps/>
          <w:color w:val="000000" w:themeColor="text1"/>
        </w:rPr>
        <w:t>en la Ciudad de México</w:t>
      </w:r>
    </w:p>
    <w:p w14:paraId="7E52F83D"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lastRenderedPageBreak/>
        <w:t>artículo 10.</w:t>
      </w:r>
      <w:r w:rsidRPr="00CA1BB8">
        <w:rPr>
          <w:rFonts w:ascii="Arial" w:hAnsi="Arial" w:cs="Arial"/>
          <w:b/>
          <w:color w:val="000000" w:themeColor="text1"/>
        </w:rPr>
        <w:t>-</w:t>
      </w:r>
      <w:r w:rsidRPr="00CA1BB8">
        <w:rPr>
          <w:rFonts w:ascii="Arial" w:hAnsi="Arial" w:cs="Arial"/>
          <w:color w:val="000000" w:themeColor="text1"/>
        </w:rPr>
        <w:t xml:space="preserve"> Las instituciones que impartan educación profesional deberán cumplir los requisitos que señalen las leyes y disposiciones reglamentarias que las rijan.</w:t>
      </w:r>
    </w:p>
    <w:p w14:paraId="500A2F66"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11.-</w:t>
      </w:r>
      <w:r w:rsidRPr="00CA1BB8">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14:paraId="31C943FB" w14:textId="77777777" w:rsidR="00CE6011" w:rsidRDefault="00CE6011" w:rsidP="00CE6011">
      <w:pPr>
        <w:spacing w:after="0" w:line="360" w:lineRule="auto"/>
        <w:jc w:val="both"/>
        <w:rPr>
          <w:rFonts w:ascii="Arial" w:hAnsi="Arial" w:cs="Arial"/>
          <w:b/>
          <w:smallCaps/>
          <w:color w:val="000000" w:themeColor="text1"/>
        </w:rPr>
      </w:pPr>
    </w:p>
    <w:p w14:paraId="1141CB8E" w14:textId="77777777"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v. del ejercicio profesional</w:t>
      </w:r>
    </w:p>
    <w:p w14:paraId="242AB21F" w14:textId="77777777"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24.-</w:t>
      </w:r>
      <w:r w:rsidRPr="00CA1BB8">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w:t>
      </w:r>
      <w:r>
        <w:rPr>
          <w:rFonts w:ascii="Arial" w:hAnsi="Arial" w:cs="Arial"/>
          <w:color w:val="000000" w:themeColor="text1"/>
        </w:rPr>
        <w:t>s</w:t>
      </w:r>
      <w:r w:rsidRPr="00CA1BB8">
        <w:rPr>
          <w:rFonts w:ascii="Arial" w:hAnsi="Arial" w:cs="Arial"/>
          <w:color w:val="000000" w:themeColor="text1"/>
        </w:rPr>
        <w:t xml:space="preserve">e trate </w:t>
      </w:r>
      <w:r>
        <w:rPr>
          <w:rFonts w:ascii="Arial" w:hAnsi="Arial" w:cs="Arial"/>
          <w:color w:val="000000" w:themeColor="text1"/>
        </w:rPr>
        <w:t>d</w:t>
      </w:r>
      <w:r w:rsidRPr="00CA1BB8">
        <w:rPr>
          <w:rFonts w:ascii="Arial" w:hAnsi="Arial" w:cs="Arial"/>
          <w:color w:val="000000" w:themeColor="text1"/>
        </w:rPr>
        <w:t>e simple consulta o la ostentación del carácter del profesionista por medio de tarjetas, anuncios, placas, insignias o de cualquier otro modo. No se reputará ejercicio profesional cualquier acto realizado en los casos graves con propósito de auxilio inmediato.</w:t>
      </w:r>
    </w:p>
    <w:p w14:paraId="1C2C4D2F" w14:textId="77777777" w:rsidR="0019648E" w:rsidRDefault="0019648E" w:rsidP="00CE6011">
      <w:pPr>
        <w:spacing w:after="0" w:line="360" w:lineRule="auto"/>
        <w:jc w:val="both"/>
        <w:rPr>
          <w:rFonts w:ascii="Arial" w:hAnsi="Arial" w:cs="Arial"/>
          <w:color w:val="000000" w:themeColor="text1"/>
        </w:rPr>
      </w:pPr>
    </w:p>
    <w:p w14:paraId="29DAE317" w14:textId="77777777" w:rsidR="0019648E" w:rsidRDefault="0019648E" w:rsidP="00CE6011">
      <w:pPr>
        <w:spacing w:after="0" w:line="360" w:lineRule="auto"/>
        <w:jc w:val="both"/>
        <w:rPr>
          <w:rFonts w:ascii="Arial" w:hAnsi="Arial" w:cs="Arial"/>
          <w:b/>
          <w:smallCaps/>
          <w:color w:val="000000" w:themeColor="text1"/>
        </w:rPr>
      </w:pPr>
      <w:r w:rsidRPr="0019648E">
        <w:rPr>
          <w:rFonts w:ascii="Arial" w:hAnsi="Arial" w:cs="Arial"/>
          <w:b/>
          <w:color w:val="000000" w:themeColor="text1"/>
        </w:rPr>
        <w:t xml:space="preserve">3.3. </w:t>
      </w:r>
      <w:r w:rsidR="00CE6011" w:rsidRPr="005A238F">
        <w:rPr>
          <w:rFonts w:ascii="Arial" w:hAnsi="Arial" w:cs="Arial"/>
          <w:b/>
          <w:smallCaps/>
          <w:color w:val="000000" w:themeColor="text1"/>
        </w:rPr>
        <w:t>Ley General de Salud</w:t>
      </w:r>
      <w:r w:rsidR="00CE6011">
        <w:rPr>
          <w:rStyle w:val="Refdenotaalpie"/>
          <w:rFonts w:ascii="Arial" w:hAnsi="Arial"/>
          <w:b/>
          <w:smallCaps/>
          <w:color w:val="000000" w:themeColor="text1"/>
        </w:rPr>
        <w:footnoteReference w:id="75"/>
      </w:r>
    </w:p>
    <w:p w14:paraId="15001732" w14:textId="0D9A0A65" w:rsidR="00CE6011" w:rsidRPr="002406DE" w:rsidRDefault="00CE6011" w:rsidP="00CE6011">
      <w:pPr>
        <w:spacing w:after="0" w:line="360" w:lineRule="auto"/>
        <w:jc w:val="both"/>
        <w:rPr>
          <w:rFonts w:ascii="Arial" w:hAnsi="Arial" w:cs="Arial"/>
          <w:highlight w:val="lightGray"/>
        </w:rPr>
      </w:pPr>
      <w:r w:rsidRPr="005A238F">
        <w:rPr>
          <w:rFonts w:ascii="Arial" w:hAnsi="Arial" w:cs="Arial"/>
          <w:color w:val="000000" w:themeColor="text1"/>
        </w:rPr>
        <w:t xml:space="preserve">Capítulo Único del Título Primero, </w:t>
      </w:r>
      <w:r w:rsidRPr="00CA0725">
        <w:rPr>
          <w:rFonts w:ascii="Arial" w:hAnsi="Arial" w:cs="Arial"/>
          <w:b/>
          <w:color w:val="000000" w:themeColor="text1"/>
        </w:rPr>
        <w:t>Artículo 2°</w:t>
      </w:r>
      <w:r w:rsidRPr="005A238F">
        <w:rPr>
          <w:rFonts w:ascii="Arial" w:hAnsi="Arial" w:cs="Arial"/>
          <w:color w:val="000000" w:themeColor="text1"/>
        </w:rPr>
        <w:t xml:space="preserve">, Fracciones I, II ,III y IV,  que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14:paraId="3F869B07" w14:textId="77777777" w:rsidR="00CE6011" w:rsidRDefault="00CE6011" w:rsidP="00CE6011">
      <w:pPr>
        <w:spacing w:after="0" w:line="360" w:lineRule="auto"/>
        <w:jc w:val="both"/>
        <w:rPr>
          <w:rFonts w:ascii="Arial" w:hAnsi="Arial" w:cs="Arial"/>
        </w:rPr>
      </w:pPr>
      <w:r w:rsidRPr="00F25270">
        <w:rPr>
          <w:rFonts w:ascii="Arial" w:hAnsi="Arial" w:cs="Arial"/>
        </w:rPr>
        <w:t xml:space="preserve">En el Título Cuarto sobre Recursos Humanos para los Servicios de Salud, Capítulo I </w:t>
      </w:r>
      <w:r w:rsidRPr="00CA0725">
        <w:rPr>
          <w:rFonts w:ascii="Arial" w:hAnsi="Arial" w:cs="Arial"/>
          <w:b/>
        </w:rPr>
        <w:t>Artículo 81</w:t>
      </w:r>
      <w:r>
        <w:rPr>
          <w:rFonts w:ascii="Arial" w:hAnsi="Arial" w:cs="Arial"/>
        </w:rPr>
        <w:t xml:space="preserve"> dice: </w:t>
      </w:r>
      <w:r w:rsidRPr="009405D8">
        <w:rPr>
          <w:rFonts w:ascii="Arial" w:hAnsi="Arial" w:cs="Arial"/>
        </w:rPr>
        <w:t>La emisión de los diplomas de especialidades médicas corresponde a las instituciones de educación superior y de salud oficialmente reconocidas ante las autoridades correspondientes</w:t>
      </w:r>
      <w:r w:rsidR="00DB4EE3">
        <w:rPr>
          <w:rFonts w:ascii="Arial" w:hAnsi="Arial" w:cs="Arial"/>
        </w:rPr>
        <w:t>.</w:t>
      </w:r>
    </w:p>
    <w:p w14:paraId="29F6286C" w14:textId="77777777" w:rsidR="00CE6011" w:rsidRPr="009405D8" w:rsidRDefault="00CE6011" w:rsidP="00CE6011">
      <w:pPr>
        <w:spacing w:after="0" w:line="360" w:lineRule="auto"/>
        <w:jc w:val="both"/>
        <w:rPr>
          <w:rFonts w:ascii="Arial" w:hAnsi="Arial" w:cs="Arial"/>
        </w:rPr>
      </w:pPr>
      <w:r w:rsidRPr="009405D8">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14:paraId="637978A5" w14:textId="77777777" w:rsidR="00CE6011" w:rsidRPr="009405D8" w:rsidRDefault="00CE6011" w:rsidP="00CE6011">
      <w:pPr>
        <w:spacing w:after="0" w:line="360" w:lineRule="auto"/>
        <w:jc w:val="both"/>
        <w:rPr>
          <w:rFonts w:ascii="Arial" w:hAnsi="Arial" w:cs="Arial"/>
        </w:rPr>
      </w:pPr>
      <w:r w:rsidRPr="009405D8">
        <w:rPr>
          <w:rFonts w:ascii="Arial" w:hAnsi="Arial" w:cs="Arial"/>
        </w:rPr>
        <w:t>El Comité Normativo Nacional de Consejos de Especialidades Médicas tendrá la naturaleza de organismo auxiliar de la Administración Pública Federal a efecto de supervisar el entrenamiento, habilidades, destrezas y calificación de la pericia</w:t>
      </w:r>
      <w:r w:rsidRPr="00F25270">
        <w:rPr>
          <w:rFonts w:ascii="Arial" w:hAnsi="Arial" w:cs="Arial"/>
        </w:rPr>
        <w:t xml:space="preserve"> </w:t>
      </w:r>
      <w:r w:rsidRPr="009405D8">
        <w:rPr>
          <w:rFonts w:ascii="Arial" w:hAnsi="Arial" w:cs="Arial"/>
        </w:rPr>
        <w:t xml:space="preserve">que se requiere para la certificación y recertificación de la misma en las diferentes especialidades de la medicina </w:t>
      </w:r>
      <w:r w:rsidRPr="009405D8">
        <w:rPr>
          <w:rFonts w:ascii="Arial" w:hAnsi="Arial" w:cs="Arial"/>
        </w:rPr>
        <w:lastRenderedPageBreak/>
        <w:t>reconocidas por el Comité y en las instituciones de salud oficialmente reconocidas ante las autoridades correspondientes.</w:t>
      </w:r>
    </w:p>
    <w:p w14:paraId="461641BC" w14:textId="77777777" w:rsidR="00CE6011" w:rsidRPr="009405D8" w:rsidRDefault="00CE6011" w:rsidP="00CE6011">
      <w:pPr>
        <w:spacing w:after="0" w:line="360" w:lineRule="auto"/>
        <w:jc w:val="both"/>
        <w:rPr>
          <w:rFonts w:ascii="Arial" w:hAnsi="Arial" w:cs="Arial"/>
        </w:rPr>
      </w:pPr>
      <w:r w:rsidRPr="009405D8">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14:paraId="5EE4A36F" w14:textId="77777777" w:rsidR="00CE6011" w:rsidRDefault="00CE6011" w:rsidP="00CE6011">
      <w:pPr>
        <w:spacing w:after="0" w:line="360" w:lineRule="auto"/>
        <w:jc w:val="both"/>
        <w:rPr>
          <w:rFonts w:ascii="Arial" w:hAnsi="Arial" w:cs="Arial"/>
        </w:rPr>
      </w:pPr>
      <w:r w:rsidRPr="009405D8">
        <w:rPr>
          <w:rFonts w:ascii="Arial" w:hAnsi="Arial" w:cs="Arial"/>
        </w:rPr>
        <w:t>Para la expedición de la cédula de médico especialista las autoridades educativas competentes solicitarán la opinión del Comité Normativo Nacional de Consejos de Especialidades Médicas</w:t>
      </w:r>
      <w:r>
        <w:rPr>
          <w:rStyle w:val="Refdenotaalpie"/>
          <w:rFonts w:ascii="Arial" w:hAnsi="Arial"/>
        </w:rPr>
        <w:footnoteReference w:id="76"/>
      </w:r>
      <w:r w:rsidRPr="009405D8">
        <w:rPr>
          <w:rFonts w:ascii="Arial" w:hAnsi="Arial" w:cs="Arial"/>
        </w:rPr>
        <w:t>.</w:t>
      </w:r>
    </w:p>
    <w:p w14:paraId="045EC6E0" w14:textId="77777777" w:rsidR="00CE6011" w:rsidRDefault="00CE6011" w:rsidP="00CE6011">
      <w:pPr>
        <w:spacing w:after="0" w:line="360" w:lineRule="auto"/>
        <w:jc w:val="both"/>
        <w:rPr>
          <w:rFonts w:ascii="Arial" w:hAnsi="Arial" w:cs="Arial"/>
        </w:rPr>
      </w:pPr>
      <w:r w:rsidRPr="00F25270">
        <w:rPr>
          <w:rFonts w:ascii="Arial" w:hAnsi="Arial" w:cs="Arial"/>
          <w:b/>
        </w:rPr>
        <w:t>Artículo 82.-</w:t>
      </w:r>
      <w:r w:rsidRPr="009405D8">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14:paraId="430021EB" w14:textId="77777777" w:rsidR="00CE6011" w:rsidRPr="009405D8" w:rsidRDefault="00CE6011" w:rsidP="00CE6011">
      <w:pPr>
        <w:spacing w:after="0" w:line="360" w:lineRule="auto"/>
        <w:jc w:val="both"/>
        <w:rPr>
          <w:rFonts w:ascii="Arial" w:hAnsi="Arial" w:cs="Arial"/>
        </w:rPr>
      </w:pPr>
      <w:r w:rsidRPr="00F25270">
        <w:rPr>
          <w:rFonts w:ascii="Arial" w:hAnsi="Arial" w:cs="Arial"/>
          <w:b/>
        </w:rPr>
        <w:t>Artículo 83.</w:t>
      </w:r>
      <w:r w:rsidRPr="009405D8">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Pr>
          <w:rStyle w:val="Refdenotaalpie"/>
          <w:rFonts w:ascii="Arial" w:hAnsi="Arial"/>
        </w:rPr>
        <w:footnoteReference w:id="77"/>
      </w:r>
    </w:p>
    <w:p w14:paraId="77220417" w14:textId="77777777" w:rsidR="00CE6011" w:rsidRPr="001C0AB2" w:rsidRDefault="00CE6011" w:rsidP="00CE6011">
      <w:pPr>
        <w:spacing w:after="0" w:line="360" w:lineRule="auto"/>
        <w:jc w:val="both"/>
        <w:rPr>
          <w:rFonts w:ascii="Arial" w:hAnsi="Arial" w:cs="Arial"/>
        </w:rPr>
      </w:pPr>
      <w:r w:rsidRPr="001C0AB2">
        <w:rPr>
          <w:rFonts w:ascii="Arial" w:hAnsi="Arial" w:cs="Arial"/>
        </w:rPr>
        <w:t xml:space="preserve">Capítulo III referido a la Formación, Capacitación y Actualización del Personal, </w:t>
      </w:r>
      <w:r w:rsidRPr="001C0AB2">
        <w:rPr>
          <w:rFonts w:ascii="Arial" w:hAnsi="Arial" w:cs="Arial"/>
          <w:b/>
        </w:rPr>
        <w:t>Artículo 89</w:t>
      </w:r>
      <w:r w:rsidRPr="001C0AB2">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14:paraId="6F03F0BF" w14:textId="77777777" w:rsidR="00CE6011" w:rsidRDefault="00CE6011" w:rsidP="00CE6011">
      <w:pPr>
        <w:spacing w:after="0" w:line="360" w:lineRule="auto"/>
        <w:jc w:val="both"/>
        <w:rPr>
          <w:rFonts w:ascii="Arial" w:hAnsi="Arial" w:cs="Arial"/>
        </w:rPr>
      </w:pPr>
      <w:r w:rsidRPr="001C0AB2">
        <w:rPr>
          <w:rFonts w:ascii="Arial" w:hAnsi="Arial" w:cs="Arial"/>
        </w:rPr>
        <w:t>Las autoridades sanitarias, sin perjuicio de la competencia que sobre la materia corresponda a las autoridades educativas y en coordinación con ellas, así como con la participación de las instituciones de salud, establecerán las normas y criterios para la capacitación y actualización de los recursos humanos para la salud</w:t>
      </w:r>
      <w:r>
        <w:rPr>
          <w:rFonts w:ascii="Arial" w:hAnsi="Arial" w:cs="Arial"/>
        </w:rPr>
        <w:t>.</w:t>
      </w:r>
    </w:p>
    <w:p w14:paraId="0537BC1D" w14:textId="77777777" w:rsidR="00CE6011" w:rsidRPr="001C0AB2" w:rsidRDefault="00CE6011" w:rsidP="00CE6011">
      <w:pPr>
        <w:autoSpaceDE w:val="0"/>
        <w:autoSpaceDN w:val="0"/>
        <w:adjustRightInd w:val="0"/>
        <w:spacing w:after="0" w:line="360" w:lineRule="auto"/>
        <w:jc w:val="both"/>
        <w:rPr>
          <w:rFonts w:ascii="Arial" w:hAnsi="Arial" w:cs="Arial"/>
        </w:rPr>
      </w:pPr>
      <w:r w:rsidRPr="001C0AB2">
        <w:rPr>
          <w:rFonts w:ascii="Arial" w:hAnsi="Arial" w:cs="Arial"/>
          <w:b/>
        </w:rPr>
        <w:t>Artículo 91.</w:t>
      </w:r>
      <w:r w:rsidRPr="001C0AB2">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14:paraId="4638473A" w14:textId="77777777" w:rsidR="00CE6011" w:rsidRPr="001C0AB2" w:rsidRDefault="00CE6011" w:rsidP="00CE6011">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lastRenderedPageBreak/>
        <w:t>El señalamiento de los requisitos para la apertura y funcionamiento de instituciones dedicadas a la formación de recursos humanos para la salud, en los diferentes niveles académicos y técnicos, y</w:t>
      </w:r>
    </w:p>
    <w:p w14:paraId="781159BA" w14:textId="77777777" w:rsidR="00CE6011" w:rsidRPr="001C0AB2" w:rsidRDefault="00CE6011" w:rsidP="00CE6011">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t>En la definición del perfil de los profesionales para la salud en sus etapas de formación.</w:t>
      </w:r>
    </w:p>
    <w:p w14:paraId="4CAC36B8" w14:textId="77777777" w:rsidR="00CE6011" w:rsidRPr="00F221E4" w:rsidRDefault="00CE6011" w:rsidP="00CE6011">
      <w:pPr>
        <w:autoSpaceDE w:val="0"/>
        <w:autoSpaceDN w:val="0"/>
        <w:adjustRightInd w:val="0"/>
        <w:spacing w:after="0" w:line="360" w:lineRule="auto"/>
        <w:jc w:val="both"/>
        <w:rPr>
          <w:rFonts w:ascii="Arial" w:hAnsi="Arial" w:cs="Arial"/>
        </w:rPr>
      </w:pPr>
      <w:r w:rsidRPr="00F221E4">
        <w:rPr>
          <w:rFonts w:ascii="Arial" w:hAnsi="Arial" w:cs="Arial"/>
          <w:b/>
        </w:rPr>
        <w:t>Artículo 92</w:t>
      </w:r>
      <w:r w:rsidRPr="00F221E4">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F221E4">
        <w:rPr>
          <w:rStyle w:val="Refdenotaalpie"/>
          <w:rFonts w:ascii="Arial" w:hAnsi="Arial"/>
        </w:rPr>
        <w:footnoteReference w:id="78"/>
      </w:r>
      <w:r w:rsidRPr="00F221E4">
        <w:rPr>
          <w:rFonts w:ascii="Arial" w:hAnsi="Arial" w:cs="Arial"/>
        </w:rPr>
        <w:t>.</w:t>
      </w:r>
    </w:p>
    <w:p w14:paraId="05BC1E51" w14:textId="77777777" w:rsidR="00CE6011" w:rsidRDefault="00CE6011" w:rsidP="00CE6011">
      <w:pPr>
        <w:spacing w:after="0" w:line="360" w:lineRule="auto"/>
        <w:jc w:val="both"/>
        <w:rPr>
          <w:rFonts w:ascii="Arial" w:hAnsi="Arial" w:cs="Arial"/>
        </w:rPr>
      </w:pPr>
      <w:r w:rsidRPr="00F221E4">
        <w:rPr>
          <w:rFonts w:ascii="Arial" w:hAnsi="Arial" w:cs="Arial"/>
          <w:b/>
        </w:rPr>
        <w:t>Artículo 95.</w:t>
      </w:r>
      <w:r w:rsidRPr="009405D8">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14:paraId="1CE3CB5D" w14:textId="77777777" w:rsidR="00CE6011" w:rsidRDefault="00CE6011" w:rsidP="00CE6011">
      <w:pPr>
        <w:spacing w:after="0" w:line="360" w:lineRule="auto"/>
        <w:jc w:val="both"/>
        <w:rPr>
          <w:rFonts w:ascii="Arial" w:hAnsi="Arial" w:cs="Arial"/>
        </w:rPr>
      </w:pPr>
      <w:r w:rsidRPr="00F25270">
        <w:rPr>
          <w:rFonts w:ascii="Arial" w:hAnsi="Arial" w:cs="Arial"/>
        </w:rPr>
        <w:t xml:space="preserve">En el Título </w:t>
      </w:r>
      <w:r>
        <w:rPr>
          <w:rFonts w:ascii="Arial" w:hAnsi="Arial" w:cs="Arial"/>
        </w:rPr>
        <w:t>Quin</w:t>
      </w:r>
      <w:r w:rsidRPr="00F25270">
        <w:rPr>
          <w:rFonts w:ascii="Arial" w:hAnsi="Arial" w:cs="Arial"/>
        </w:rPr>
        <w:t>to</w:t>
      </w:r>
      <w:r>
        <w:rPr>
          <w:rFonts w:ascii="Arial" w:hAnsi="Arial" w:cs="Arial"/>
        </w:rPr>
        <w:t>, Capítulo Único,</w:t>
      </w:r>
      <w:r w:rsidRPr="00F25270">
        <w:rPr>
          <w:rFonts w:ascii="Arial" w:hAnsi="Arial" w:cs="Arial"/>
        </w:rPr>
        <w:t xml:space="preserve"> </w:t>
      </w:r>
      <w:r>
        <w:rPr>
          <w:rFonts w:ascii="Arial" w:hAnsi="Arial" w:cs="Arial"/>
        </w:rPr>
        <w:t>relativo a la investigación para la</w:t>
      </w:r>
      <w:r w:rsidRPr="00F25270">
        <w:rPr>
          <w:rFonts w:ascii="Arial" w:hAnsi="Arial" w:cs="Arial"/>
        </w:rPr>
        <w:t xml:space="preserve"> Salud, Capítulo I </w:t>
      </w:r>
      <w:r w:rsidRPr="00CA0725">
        <w:rPr>
          <w:rFonts w:ascii="Arial" w:hAnsi="Arial" w:cs="Arial"/>
          <w:b/>
        </w:rPr>
        <w:t xml:space="preserve">Artículo </w:t>
      </w:r>
      <w:r>
        <w:rPr>
          <w:rFonts w:ascii="Arial" w:hAnsi="Arial" w:cs="Arial"/>
          <w:b/>
        </w:rPr>
        <w:t xml:space="preserve">96. </w:t>
      </w:r>
      <w:r w:rsidRPr="009405D8">
        <w:rPr>
          <w:rFonts w:ascii="Arial" w:hAnsi="Arial" w:cs="Arial"/>
        </w:rPr>
        <w:t>La investigación para la salud comprende el desarrollo de acciones que contribuyan:</w:t>
      </w:r>
    </w:p>
    <w:p w14:paraId="69FD82A1" w14:textId="77777777" w:rsidR="00CE6011" w:rsidRPr="009405D8" w:rsidRDefault="00CE6011" w:rsidP="00CE6011">
      <w:pPr>
        <w:spacing w:after="0" w:line="360" w:lineRule="auto"/>
        <w:rPr>
          <w:rFonts w:ascii="Arial" w:hAnsi="Arial" w:cs="Arial"/>
        </w:rPr>
      </w:pPr>
      <w:r w:rsidRPr="009405D8">
        <w:rPr>
          <w:rFonts w:ascii="Arial" w:hAnsi="Arial" w:cs="Arial"/>
        </w:rPr>
        <w:t>I. Al conocimiento de los procesos biológicos y psicológicos en los seres humanos;</w:t>
      </w:r>
    </w:p>
    <w:p w14:paraId="3D893E25" w14:textId="77777777" w:rsidR="00CE6011" w:rsidRPr="009405D8" w:rsidRDefault="00CE6011" w:rsidP="00CE6011">
      <w:pPr>
        <w:spacing w:after="0" w:line="360" w:lineRule="auto"/>
        <w:rPr>
          <w:rFonts w:ascii="Arial" w:hAnsi="Arial" w:cs="Arial"/>
        </w:rPr>
      </w:pPr>
      <w:r w:rsidRPr="009405D8">
        <w:rPr>
          <w:rFonts w:ascii="Arial" w:hAnsi="Arial" w:cs="Arial"/>
        </w:rPr>
        <w:t>II. Al conocimiento de los vínculos entre las causas de enfermedad, la práctica médica y la estructura social;</w:t>
      </w:r>
    </w:p>
    <w:p w14:paraId="5521DB3F" w14:textId="77777777" w:rsidR="00CE6011" w:rsidRPr="009405D8" w:rsidRDefault="00CE6011" w:rsidP="00CE6011">
      <w:pPr>
        <w:spacing w:after="0" w:line="360" w:lineRule="auto"/>
        <w:rPr>
          <w:rFonts w:ascii="Arial" w:hAnsi="Arial" w:cs="Arial"/>
        </w:rPr>
      </w:pPr>
      <w:r w:rsidRPr="009405D8">
        <w:rPr>
          <w:rFonts w:ascii="Arial" w:hAnsi="Arial" w:cs="Arial"/>
        </w:rPr>
        <w:t>III. A la prevención y control de los problemas de salud que se consideren prioritarios para la población;</w:t>
      </w:r>
    </w:p>
    <w:p w14:paraId="0EE4D682" w14:textId="77777777" w:rsidR="00CE6011" w:rsidRPr="009405D8" w:rsidRDefault="00CE6011" w:rsidP="00CE6011">
      <w:pPr>
        <w:spacing w:after="0" w:line="360" w:lineRule="auto"/>
        <w:rPr>
          <w:rFonts w:ascii="Arial" w:hAnsi="Arial" w:cs="Arial"/>
        </w:rPr>
      </w:pPr>
      <w:r w:rsidRPr="009405D8">
        <w:rPr>
          <w:rFonts w:ascii="Arial" w:hAnsi="Arial" w:cs="Arial"/>
        </w:rPr>
        <w:t>IV. Al conocimiento y control de los efectos nocivos del ambiente en la salud;</w:t>
      </w:r>
    </w:p>
    <w:p w14:paraId="7C05EBCD" w14:textId="77777777" w:rsidR="00CE6011" w:rsidRPr="009405D8" w:rsidRDefault="00CE6011" w:rsidP="00CE6011">
      <w:pPr>
        <w:spacing w:after="0" w:line="360" w:lineRule="auto"/>
        <w:rPr>
          <w:rFonts w:ascii="Arial" w:hAnsi="Arial" w:cs="Arial"/>
        </w:rPr>
      </w:pPr>
      <w:r w:rsidRPr="009405D8">
        <w:rPr>
          <w:rFonts w:ascii="Arial" w:hAnsi="Arial" w:cs="Arial"/>
        </w:rPr>
        <w:t>V. Al estudio de las técnicas y métodos que se recomienden o empleen para la prestación de servicios de salud, y</w:t>
      </w:r>
    </w:p>
    <w:p w14:paraId="0A34089E" w14:textId="77777777" w:rsidR="00CE6011" w:rsidRPr="009405D8" w:rsidRDefault="00CE6011" w:rsidP="00CE6011">
      <w:pPr>
        <w:spacing w:after="0" w:line="360" w:lineRule="auto"/>
        <w:rPr>
          <w:rFonts w:ascii="Arial" w:hAnsi="Arial" w:cs="Arial"/>
        </w:rPr>
      </w:pPr>
      <w:r w:rsidRPr="009405D8">
        <w:rPr>
          <w:rFonts w:ascii="Arial" w:hAnsi="Arial" w:cs="Arial"/>
        </w:rPr>
        <w:t>VI. A la producción nacional de insumos para la salud.</w:t>
      </w:r>
    </w:p>
    <w:p w14:paraId="093B53AB" w14:textId="52EFE7FD" w:rsidR="00CE6011" w:rsidRPr="00353730" w:rsidRDefault="00D037C1" w:rsidP="00CE6011">
      <w:pPr>
        <w:spacing w:after="0" w:line="360" w:lineRule="auto"/>
        <w:jc w:val="both"/>
        <w:rPr>
          <w:rFonts w:ascii="Arial" w:hAnsi="Arial" w:cs="Arial"/>
          <w:u w:val="single"/>
        </w:rPr>
      </w:pPr>
      <w:r>
        <w:rPr>
          <w:rFonts w:ascii="Arial" w:hAnsi="Arial" w:cs="Arial"/>
        </w:rPr>
        <w:t>Asimismo,</w:t>
      </w:r>
      <w:r w:rsidR="00CE6011">
        <w:rPr>
          <w:rFonts w:ascii="Arial" w:hAnsi="Arial" w:cs="Arial"/>
        </w:rPr>
        <w:t xml:space="preserve"> se atenderá lo dispuesto en el Reglamento de la Ley General de Salud en Materia de Investigación para la Salud, publicado en el Diario Oficial de la Federación el 23 de diciembre de 1986.</w:t>
      </w:r>
    </w:p>
    <w:p w14:paraId="4405786D" w14:textId="77777777" w:rsidR="00CE6011" w:rsidRDefault="00CE6011" w:rsidP="00CE6011">
      <w:pPr>
        <w:spacing w:after="0" w:line="360" w:lineRule="auto"/>
        <w:jc w:val="both"/>
        <w:rPr>
          <w:rFonts w:ascii="Arial" w:hAnsi="Arial" w:cs="Arial"/>
        </w:rPr>
      </w:pPr>
      <w:r w:rsidRPr="009405D8">
        <w:rPr>
          <w:rFonts w:ascii="Arial" w:hAnsi="Arial" w:cs="Arial"/>
        </w:rPr>
        <w:t>La operación de los programas correspondientes en los establecimientos de salud, se llevará a cabo de acuerdo a los lineamientos establecidos por cada una de las instituciones de salud y lo que determinen las autoridades sanitarias competentes.</w:t>
      </w:r>
    </w:p>
    <w:p w14:paraId="768695EA" w14:textId="32D62842" w:rsidR="0019648E" w:rsidRPr="0019648E" w:rsidRDefault="0019648E" w:rsidP="00CE6011">
      <w:pPr>
        <w:spacing w:after="0" w:line="360" w:lineRule="auto"/>
        <w:jc w:val="both"/>
        <w:rPr>
          <w:rFonts w:ascii="Arial" w:hAnsi="Arial" w:cs="Arial"/>
          <w:b/>
          <w:smallCaps/>
        </w:rPr>
      </w:pPr>
      <w:r w:rsidRPr="0019648E">
        <w:rPr>
          <w:rFonts w:ascii="Arial" w:hAnsi="Arial" w:cs="Arial"/>
          <w:b/>
          <w:smallCaps/>
        </w:rPr>
        <w:lastRenderedPageBreak/>
        <w:t>3.4. Norma Oficial Mexicana</w:t>
      </w:r>
    </w:p>
    <w:p w14:paraId="40D1C52C" w14:textId="698D8DD2" w:rsidR="00CE6011" w:rsidRPr="00CC1CD9" w:rsidRDefault="00CE6011" w:rsidP="00CE6011">
      <w:pPr>
        <w:spacing w:after="0" w:line="360" w:lineRule="auto"/>
        <w:jc w:val="both"/>
        <w:rPr>
          <w:rFonts w:ascii="Arial" w:hAnsi="Arial" w:cs="Arial"/>
        </w:rPr>
      </w:pPr>
      <w:r>
        <w:rPr>
          <w:rFonts w:ascii="Arial" w:hAnsi="Arial" w:cs="Arial"/>
        </w:rPr>
        <w:t>La regulación para la operación, organización, funcionamiento y para la obtención de la Opinión Técnico Académica para el programa de</w:t>
      </w:r>
      <w:r w:rsidR="00041E44">
        <w:rPr>
          <w:rFonts w:ascii="Arial" w:hAnsi="Arial" w:cs="Arial"/>
        </w:rPr>
        <w:t xml:space="preserve"> especialidad médica en </w:t>
      </w:r>
      <w:r w:rsidR="00041E44" w:rsidRPr="00CC1CD9">
        <w:rPr>
          <w:rFonts w:ascii="Arial" w:hAnsi="Arial" w:cs="Arial"/>
        </w:rPr>
        <w:t>Anestesiología, se describen en</w:t>
      </w:r>
      <w:r w:rsidRPr="00CC1CD9">
        <w:rPr>
          <w:rFonts w:ascii="Arial" w:hAnsi="Arial" w:cs="Arial"/>
        </w:rPr>
        <w:t xml:space="preserve"> las siguientes normas oficiales:</w:t>
      </w:r>
    </w:p>
    <w:p w14:paraId="4A8612B5" w14:textId="77777777" w:rsidR="00CE6011" w:rsidRPr="00CC1CD9" w:rsidRDefault="00CE6011" w:rsidP="00CE6011">
      <w:pPr>
        <w:autoSpaceDE w:val="0"/>
        <w:autoSpaceDN w:val="0"/>
        <w:adjustRightInd w:val="0"/>
        <w:spacing w:after="0" w:line="360" w:lineRule="auto"/>
        <w:jc w:val="both"/>
        <w:rPr>
          <w:rFonts w:ascii="Arial" w:hAnsi="Arial" w:cs="Arial"/>
        </w:rPr>
      </w:pPr>
      <w:r w:rsidRPr="00CC1CD9">
        <w:rPr>
          <w:rFonts w:ascii="Arial" w:hAnsi="Arial" w:cs="Arial"/>
        </w:rPr>
        <w:t xml:space="preserve">Norma Oficial Mexicana NOM-016-SSA3-2012, Que establece las </w:t>
      </w:r>
      <w:r w:rsidRPr="00CC1CD9">
        <w:rPr>
          <w:rFonts w:ascii="Arial" w:hAnsi="Arial" w:cs="Arial"/>
          <w:b/>
        </w:rPr>
        <w:t>características mínimas de infraestructura y equipamiento de hospitales y consultorios de atención médica especializada</w:t>
      </w:r>
      <w:r w:rsidRPr="00CC1CD9">
        <w:rPr>
          <w:rFonts w:ascii="Arial" w:hAnsi="Arial" w:cs="Arial"/>
        </w:rPr>
        <w:t>. Publicada el 8 de enero de 2013.</w:t>
      </w:r>
    </w:p>
    <w:p w14:paraId="14888EE9" w14:textId="77777777" w:rsidR="00EC4708" w:rsidRPr="00CC1CD9" w:rsidRDefault="00EC4708" w:rsidP="00CE6011">
      <w:pPr>
        <w:autoSpaceDE w:val="0"/>
        <w:autoSpaceDN w:val="0"/>
        <w:adjustRightInd w:val="0"/>
        <w:spacing w:after="0" w:line="360" w:lineRule="auto"/>
        <w:jc w:val="both"/>
        <w:rPr>
          <w:rFonts w:ascii="Arial" w:hAnsi="Arial" w:cs="Arial"/>
        </w:rPr>
      </w:pPr>
      <w:r w:rsidRPr="00CF252E">
        <w:rPr>
          <w:rFonts w:ascii="Arial" w:hAnsi="Arial" w:cs="Arial"/>
        </w:rPr>
        <w:t xml:space="preserve">Norma Oficial Mexicana NOM 170-SSA1-1998, </w:t>
      </w:r>
      <w:r w:rsidRPr="00CF252E">
        <w:rPr>
          <w:rFonts w:ascii="Arial" w:hAnsi="Arial" w:cs="Arial"/>
          <w:b/>
        </w:rPr>
        <w:t>para la práctica de Anestesiología</w:t>
      </w:r>
      <w:r w:rsidRPr="00CF252E">
        <w:rPr>
          <w:rFonts w:ascii="Arial" w:hAnsi="Arial" w:cs="Arial"/>
        </w:rPr>
        <w:t>.</w:t>
      </w:r>
    </w:p>
    <w:p w14:paraId="55DF3C5D" w14:textId="1E03046E" w:rsidR="00CE6011" w:rsidRPr="00CC1CD9" w:rsidRDefault="00CE6011" w:rsidP="00CE6011">
      <w:pPr>
        <w:autoSpaceDE w:val="0"/>
        <w:autoSpaceDN w:val="0"/>
        <w:adjustRightInd w:val="0"/>
        <w:spacing w:after="0" w:line="360" w:lineRule="auto"/>
        <w:jc w:val="both"/>
        <w:rPr>
          <w:rFonts w:ascii="Arial" w:hAnsi="Arial" w:cs="Arial"/>
        </w:rPr>
      </w:pPr>
      <w:r w:rsidRPr="00CC1CD9">
        <w:rPr>
          <w:rFonts w:ascii="Arial" w:hAnsi="Arial" w:cs="Arial"/>
          <w:shd w:val="clear" w:color="auto" w:fill="FFFFFF"/>
        </w:rPr>
        <w:t xml:space="preserve">Norma Oficial Mexicana NOM-168-SSA1-1998, </w:t>
      </w:r>
      <w:r w:rsidRPr="00CC1CD9">
        <w:rPr>
          <w:rFonts w:ascii="Arial" w:hAnsi="Arial" w:cs="Arial"/>
          <w:b/>
          <w:shd w:val="clear" w:color="auto" w:fill="FFFFFF"/>
        </w:rPr>
        <w:t>del expediente clínico</w:t>
      </w:r>
      <w:r w:rsidRPr="00CC1CD9">
        <w:rPr>
          <w:rFonts w:ascii="Arial" w:hAnsi="Arial" w:cs="Arial"/>
        </w:rPr>
        <w:t>. Publicada el 30 de s</w:t>
      </w:r>
      <w:r w:rsidR="00D037C1">
        <w:rPr>
          <w:rFonts w:ascii="Arial" w:hAnsi="Arial" w:cs="Arial"/>
        </w:rPr>
        <w:t xml:space="preserve">eptiembre de 1999 y modificada </w:t>
      </w:r>
      <w:r w:rsidRPr="00CC1CD9">
        <w:rPr>
          <w:rFonts w:ascii="Arial" w:hAnsi="Arial" w:cs="Arial"/>
        </w:rPr>
        <w:t>el 22 de agosto de 2003.</w:t>
      </w:r>
    </w:p>
    <w:p w14:paraId="701B8CB5" w14:textId="77777777" w:rsidR="00CE6011" w:rsidRPr="00CC1CD9" w:rsidRDefault="00CE6011" w:rsidP="00CE6011">
      <w:pPr>
        <w:autoSpaceDE w:val="0"/>
        <w:autoSpaceDN w:val="0"/>
        <w:adjustRightInd w:val="0"/>
        <w:spacing w:after="0" w:line="360" w:lineRule="auto"/>
        <w:jc w:val="both"/>
        <w:rPr>
          <w:rFonts w:ascii="Arial" w:hAnsi="Arial" w:cs="Arial"/>
        </w:rPr>
      </w:pPr>
      <w:r w:rsidRPr="00CC1CD9">
        <w:rPr>
          <w:rFonts w:ascii="Arial" w:hAnsi="Arial" w:cs="Arial"/>
          <w:bCs/>
        </w:rPr>
        <w:t xml:space="preserve">NORMA Oficial Mexicana NOM-001-SSA3-2012, Educación en salud. </w:t>
      </w:r>
      <w:r w:rsidRPr="00CC1CD9">
        <w:rPr>
          <w:rFonts w:ascii="Arial" w:hAnsi="Arial" w:cs="Arial"/>
          <w:b/>
          <w:bCs/>
        </w:rPr>
        <w:t>Para la organización y funcionamiento de residencias médicas</w:t>
      </w:r>
      <w:r w:rsidRPr="00CC1CD9">
        <w:rPr>
          <w:rFonts w:ascii="Arial" w:hAnsi="Arial" w:cs="Arial"/>
          <w:bCs/>
        </w:rPr>
        <w:t xml:space="preserve">. Publicada el </w:t>
      </w:r>
      <w:r w:rsidRPr="00CC1CD9">
        <w:rPr>
          <w:rFonts w:ascii="Arial" w:hAnsi="Arial" w:cs="Arial"/>
        </w:rPr>
        <w:t>4 de enero de 2013.</w:t>
      </w:r>
    </w:p>
    <w:p w14:paraId="6BF1DC2F" w14:textId="714B0448" w:rsidR="00CE6011" w:rsidRPr="00CC1CD9" w:rsidRDefault="00CE6011" w:rsidP="00CE6011">
      <w:pPr>
        <w:autoSpaceDE w:val="0"/>
        <w:autoSpaceDN w:val="0"/>
        <w:adjustRightInd w:val="0"/>
        <w:spacing w:after="0" w:line="360" w:lineRule="auto"/>
        <w:jc w:val="both"/>
        <w:rPr>
          <w:rFonts w:ascii="Arial" w:hAnsi="Arial" w:cs="Arial"/>
        </w:rPr>
      </w:pPr>
      <w:r w:rsidRPr="00CC1CD9">
        <w:rPr>
          <w:rFonts w:ascii="Arial" w:hAnsi="Arial" w:cs="Arial"/>
        </w:rPr>
        <w:t>Norma Oficial Mexicana NOM-027-SSA3-2013, Que establece los criterios de funcionamiento y atención en los servicios de urgencias de los establecimientos para la atención médica. Publicada el 4 de septiembre de 2013.</w:t>
      </w:r>
    </w:p>
    <w:p w14:paraId="3898EE96" w14:textId="16897B10" w:rsidR="00041E44" w:rsidRDefault="00041E44" w:rsidP="00CE6011">
      <w:pPr>
        <w:autoSpaceDE w:val="0"/>
        <w:autoSpaceDN w:val="0"/>
        <w:adjustRightInd w:val="0"/>
        <w:spacing w:after="0" w:line="360" w:lineRule="auto"/>
        <w:jc w:val="both"/>
        <w:rPr>
          <w:rFonts w:ascii="Arial" w:hAnsi="Arial" w:cs="Arial"/>
          <w:b/>
          <w:bCs/>
        </w:rPr>
      </w:pPr>
    </w:p>
    <w:p w14:paraId="05AE78F2" w14:textId="2B443A6E" w:rsidR="0019648E" w:rsidRDefault="0019648E" w:rsidP="00CE6011">
      <w:pPr>
        <w:autoSpaceDE w:val="0"/>
        <w:autoSpaceDN w:val="0"/>
        <w:adjustRightInd w:val="0"/>
        <w:spacing w:after="0" w:line="360" w:lineRule="auto"/>
        <w:jc w:val="both"/>
        <w:rPr>
          <w:rFonts w:ascii="Arial" w:hAnsi="Arial" w:cs="Arial"/>
          <w:b/>
          <w:bCs/>
        </w:rPr>
      </w:pPr>
      <w:r>
        <w:rPr>
          <w:rFonts w:ascii="Arial" w:hAnsi="Arial" w:cs="Arial"/>
          <w:b/>
          <w:bCs/>
        </w:rPr>
        <w:t xml:space="preserve">3.5. </w:t>
      </w:r>
      <w:r w:rsidR="00CE6011" w:rsidRPr="00B32696">
        <w:rPr>
          <w:rFonts w:ascii="Arial" w:hAnsi="Arial" w:cs="Arial"/>
          <w:b/>
          <w:bCs/>
        </w:rPr>
        <w:t>L</w:t>
      </w:r>
      <w:r w:rsidRPr="0019648E">
        <w:rPr>
          <w:rFonts w:ascii="Arial" w:hAnsi="Arial" w:cs="Arial"/>
          <w:b/>
          <w:bCs/>
          <w:smallCaps/>
        </w:rPr>
        <w:t>ineamientos CIFRHS</w:t>
      </w:r>
    </w:p>
    <w:p w14:paraId="1D92032D" w14:textId="22ADEEAD" w:rsidR="00CE6011" w:rsidRPr="00005864" w:rsidRDefault="00885643" w:rsidP="00CE6011">
      <w:pPr>
        <w:autoSpaceDE w:val="0"/>
        <w:autoSpaceDN w:val="0"/>
        <w:adjustRightInd w:val="0"/>
        <w:spacing w:after="0" w:line="360" w:lineRule="auto"/>
        <w:jc w:val="both"/>
        <w:rPr>
          <w:rFonts w:ascii="Arial" w:hAnsi="Arial" w:cs="Arial"/>
        </w:rPr>
      </w:pPr>
      <w:r>
        <w:rPr>
          <w:rFonts w:ascii="Arial" w:hAnsi="Arial" w:cs="Arial"/>
          <w:bCs/>
        </w:rPr>
        <w:t>Se toma como base el documento para obtener la O</w:t>
      </w:r>
      <w:r w:rsidR="00CE6011" w:rsidRPr="00F24A2A">
        <w:rPr>
          <w:rFonts w:ascii="Arial" w:hAnsi="Arial" w:cs="Arial"/>
          <w:bCs/>
        </w:rPr>
        <w:t>p</w:t>
      </w:r>
      <w:r>
        <w:rPr>
          <w:rFonts w:ascii="Arial" w:hAnsi="Arial" w:cs="Arial"/>
          <w:bCs/>
        </w:rPr>
        <w:t>inión Técnico A</w:t>
      </w:r>
      <w:r w:rsidR="00CE6011" w:rsidRPr="00F24A2A">
        <w:rPr>
          <w:rFonts w:ascii="Arial" w:hAnsi="Arial" w:cs="Arial"/>
          <w:bCs/>
        </w:rPr>
        <w:t>cadémica de la Comisión Interinstitucional para la Formación de Recursos</w:t>
      </w:r>
      <w:r w:rsidR="00CE6011">
        <w:rPr>
          <w:rFonts w:ascii="Arial" w:hAnsi="Arial" w:cs="Arial"/>
          <w:bCs/>
        </w:rPr>
        <w:t xml:space="preserve"> </w:t>
      </w:r>
      <w:r w:rsidR="00CE6011" w:rsidRPr="00F24A2A">
        <w:rPr>
          <w:rFonts w:ascii="Arial" w:hAnsi="Arial" w:cs="Arial"/>
          <w:bCs/>
        </w:rPr>
        <w:t>Humanos para la Salud, respecto de la apertura y funcionamiento de Instituciones Particulares de Educación Superior dedicadas a la</w:t>
      </w:r>
      <w:r w:rsidR="00CE6011">
        <w:rPr>
          <w:rFonts w:ascii="Arial" w:hAnsi="Arial" w:cs="Arial"/>
          <w:bCs/>
        </w:rPr>
        <w:t xml:space="preserve"> </w:t>
      </w:r>
      <w:r w:rsidR="00CE6011" w:rsidRPr="00F24A2A">
        <w:rPr>
          <w:rFonts w:ascii="Arial" w:hAnsi="Arial" w:cs="Arial"/>
          <w:bCs/>
        </w:rPr>
        <w:t>formación de Recursos Humanos para la Salud.</w:t>
      </w:r>
      <w:r w:rsidR="00CE6011">
        <w:rPr>
          <w:rFonts w:ascii="Arial" w:hAnsi="Arial" w:cs="Arial"/>
          <w:bCs/>
        </w:rPr>
        <w:t xml:space="preserve"> Pu</w:t>
      </w:r>
      <w:r>
        <w:rPr>
          <w:rFonts w:ascii="Arial" w:hAnsi="Arial" w:cs="Arial"/>
          <w:bCs/>
        </w:rPr>
        <w:t xml:space="preserve">blicada el 14 de agosto de 2018, así como el </w:t>
      </w:r>
      <w:r w:rsidR="00CE6011" w:rsidRPr="00005864">
        <w:rPr>
          <w:rFonts w:ascii="Arial" w:hAnsi="Arial" w:cs="Arial"/>
        </w:rPr>
        <w:t>Reglamento de la Ley General de Salud en materia de investigación para la salud.</w:t>
      </w:r>
    </w:p>
    <w:p w14:paraId="05909A5C" w14:textId="6110B91B" w:rsidR="0022093B" w:rsidRDefault="00CE6011" w:rsidP="005441D1">
      <w:pPr>
        <w:spacing w:after="0" w:line="360" w:lineRule="auto"/>
        <w:jc w:val="both"/>
        <w:rPr>
          <w:rFonts w:ascii="Arial" w:hAnsi="Arial" w:cs="Arial"/>
        </w:rPr>
      </w:pPr>
      <w:r w:rsidRPr="00CE6011">
        <w:rPr>
          <w:rFonts w:ascii="Arial" w:hAnsi="Arial" w:cs="Arial"/>
        </w:rPr>
        <w:t xml:space="preserve"> </w:t>
      </w:r>
    </w:p>
    <w:p w14:paraId="177E7A11" w14:textId="73314688" w:rsidR="00954059" w:rsidRPr="009343CB" w:rsidRDefault="006046FB" w:rsidP="00954059">
      <w:pPr>
        <w:spacing w:after="120" w:line="360" w:lineRule="auto"/>
        <w:ind w:right="-79"/>
        <w:jc w:val="both"/>
        <w:rPr>
          <w:rFonts w:ascii="Arial" w:hAnsi="Arial" w:cs="Arial"/>
          <w:b/>
        </w:rPr>
      </w:pPr>
      <w:r>
        <w:rPr>
          <w:rFonts w:ascii="Arial" w:hAnsi="Arial" w:cs="Arial"/>
          <w:b/>
        </w:rPr>
        <w:t>IV</w:t>
      </w:r>
      <w:r w:rsidR="005B44CA">
        <w:rPr>
          <w:rFonts w:ascii="Arial" w:hAnsi="Arial" w:cs="Arial"/>
          <w:b/>
        </w:rPr>
        <w:t xml:space="preserve">. </w:t>
      </w:r>
      <w:r w:rsidR="00954059" w:rsidRPr="009343CB">
        <w:rPr>
          <w:rFonts w:ascii="Arial" w:hAnsi="Arial" w:cs="Arial"/>
          <w:b/>
        </w:rPr>
        <w:t>DEMANDA EDUCATIVA</w:t>
      </w:r>
      <w:r w:rsidR="004852A3">
        <w:rPr>
          <w:rFonts w:ascii="Arial" w:hAnsi="Arial" w:cs="Arial"/>
          <w:b/>
        </w:rPr>
        <w:t xml:space="preserve"> EN</w:t>
      </w:r>
      <w:r w:rsidR="00D62550">
        <w:rPr>
          <w:rFonts w:ascii="Arial" w:hAnsi="Arial" w:cs="Arial"/>
          <w:b/>
        </w:rPr>
        <w:t xml:space="preserve"> ANESTESIOLOGÍ</w:t>
      </w:r>
      <w:r w:rsidR="00954059">
        <w:rPr>
          <w:rFonts w:ascii="Arial" w:hAnsi="Arial" w:cs="Arial"/>
          <w:b/>
        </w:rPr>
        <w:t>A</w:t>
      </w:r>
    </w:p>
    <w:p w14:paraId="6A1D8BF4" w14:textId="77777777" w:rsidR="00954059" w:rsidRDefault="00954059" w:rsidP="00954059">
      <w:pPr>
        <w:spacing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79"/>
      </w:r>
      <w:r>
        <w:rPr>
          <w:rFonts w:ascii="Arial" w:hAnsi="Arial" w:cs="Arial"/>
          <w:lang w:eastAsia="es-MX"/>
        </w:rPr>
        <w:t xml:space="preserve">; en algunos casos, la elección de la especialidad es un proceso que se inicia desde antes de ingresar a la licenciatura de medicina, se modifica a través de los años de estancia en el programa y, finalmente, termina </w:t>
      </w:r>
      <w:r>
        <w:rPr>
          <w:rFonts w:ascii="Arial" w:hAnsi="Arial" w:cs="Arial"/>
          <w:lang w:eastAsia="es-MX"/>
        </w:rPr>
        <w:lastRenderedPageBreak/>
        <w:t>cuando la especialidad es elegida</w:t>
      </w:r>
      <w:r>
        <w:rPr>
          <w:rStyle w:val="Refdenotaalpie"/>
          <w:rFonts w:ascii="Arial" w:hAnsi="Arial" w:cs="Arial"/>
          <w:lang w:eastAsia="es-MX"/>
        </w:rPr>
        <w:footnoteReference w:id="80"/>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81"/>
      </w:r>
      <w:r>
        <w:rPr>
          <w:rFonts w:ascii="Arial" w:hAnsi="Arial" w:cs="Arial"/>
          <w:lang w:eastAsia="es-MX"/>
        </w:rPr>
        <w:t xml:space="preserve">. </w:t>
      </w:r>
    </w:p>
    <w:p w14:paraId="6BCCC406" w14:textId="341BFCEC" w:rsidR="00B80906" w:rsidRDefault="00954059" w:rsidP="00B80906">
      <w:pPr>
        <w:spacing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82"/>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83"/>
      </w:r>
      <w:r>
        <w:rPr>
          <w:rFonts w:ascii="Arial" w:hAnsi="Arial" w:cs="Arial"/>
          <w:lang w:eastAsia="es-MX"/>
        </w:rPr>
        <w:t xml:space="preserve">. Este modelo es retomado por Querido </w:t>
      </w:r>
      <w:r w:rsidR="00C87899">
        <w:rPr>
          <w:rFonts w:ascii="Arial" w:hAnsi="Arial" w:cs="Arial"/>
          <w:i/>
          <w:lang w:eastAsia="es-MX"/>
        </w:rPr>
        <w:t>et</w:t>
      </w:r>
      <w:r w:rsidRPr="000D6ACB">
        <w:rPr>
          <w:rFonts w:ascii="Arial" w:hAnsi="Arial" w:cs="Arial"/>
          <w:i/>
          <w:lang w:eastAsia="es-MX"/>
        </w:rPr>
        <w:t xml:space="preserve"> al.</w:t>
      </w:r>
      <w:r>
        <w:rPr>
          <w:rFonts w:ascii="Arial" w:hAnsi="Arial" w:cs="Arial"/>
          <w:lang w:eastAsia="es-MX"/>
        </w:rPr>
        <w:t>, quienes hacen énfasis en que el tipo de escuela es diferente en cada país; la Figura 1 resume dicho modelo y se configura al contexto de México, donde la educación médica se caracteriza por ingresas a la licenciatura una vez terminado los estudios de bachillerato, para después acceder a la especialidad médica.</w:t>
      </w:r>
    </w:p>
    <w:p w14:paraId="2D45C44E" w14:textId="03954FB6" w:rsidR="00954059" w:rsidRDefault="00954059" w:rsidP="00B80906">
      <w:pPr>
        <w:spacing w:line="360" w:lineRule="auto"/>
        <w:jc w:val="both"/>
        <w:rPr>
          <w:rFonts w:ascii="Arial" w:hAnsi="Arial" w:cs="Arial"/>
          <w:lang w:eastAsia="es-MX"/>
        </w:rPr>
      </w:pPr>
      <w:r w:rsidRPr="002C0B41">
        <w:rPr>
          <w:rFonts w:ascii="Arial" w:hAnsi="Arial" w:cs="Arial"/>
          <w:b/>
          <w:lang w:eastAsia="es-MX"/>
        </w:rPr>
        <w:lastRenderedPageBreak/>
        <w:t xml:space="preserve">Figura 1. Modelo de Bland-Meurer (modificaciones de Querido </w:t>
      </w:r>
      <w:r w:rsidR="00C87899">
        <w:rPr>
          <w:rFonts w:ascii="Arial" w:hAnsi="Arial" w:cs="Arial"/>
          <w:b/>
          <w:i/>
          <w:lang w:eastAsia="es-MX"/>
        </w:rPr>
        <w:t>et</w:t>
      </w:r>
      <w:r w:rsidRPr="002C0B41">
        <w:rPr>
          <w:rFonts w:ascii="Arial" w:hAnsi="Arial" w:cs="Arial"/>
          <w:b/>
          <w:i/>
          <w:lang w:eastAsia="es-MX"/>
        </w:rPr>
        <w:t xml:space="preserve"> al.</w:t>
      </w:r>
      <w:r w:rsidRPr="002C0B41">
        <w:rPr>
          <w:rFonts w:ascii="Arial" w:hAnsi="Arial" w:cs="Arial"/>
          <w:b/>
          <w:lang w:eastAsia="es-MX"/>
        </w:rPr>
        <w:t>) sobe los factores relacionados con la elección de una especialidad.</w:t>
      </w:r>
      <w:r>
        <w:rPr>
          <w:noProof/>
          <w:lang w:eastAsia="es-MX"/>
        </w:rPr>
        <w:drawing>
          <wp:inline distT="0" distB="0" distL="0" distR="0" wp14:anchorId="5D446D89" wp14:editId="10C3A47A">
            <wp:extent cx="5589917" cy="4692650"/>
            <wp:effectExtent l="19050" t="19050" r="10795" b="1270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98441" cy="4699806"/>
                    </a:xfrm>
                    <a:prstGeom prst="rect">
                      <a:avLst/>
                    </a:prstGeom>
                    <a:ln>
                      <a:solidFill>
                        <a:schemeClr val="tx1"/>
                      </a:solidFill>
                    </a:ln>
                  </pic:spPr>
                </pic:pic>
              </a:graphicData>
            </a:graphic>
          </wp:inline>
        </w:drawing>
      </w:r>
    </w:p>
    <w:p w14:paraId="6888BC73" w14:textId="7C32EBE0" w:rsidR="00954059" w:rsidRDefault="00D037C1" w:rsidP="00954059">
      <w:pPr>
        <w:spacing w:after="0" w:line="360" w:lineRule="auto"/>
        <w:ind w:left="708" w:firstLine="708"/>
        <w:jc w:val="both"/>
        <w:rPr>
          <w:rFonts w:ascii="Arial" w:hAnsi="Arial" w:cs="Arial"/>
          <w:lang w:eastAsia="es-MX"/>
        </w:rPr>
      </w:pPr>
      <w:r>
        <w:rPr>
          <w:rFonts w:ascii="Arial" w:hAnsi="Arial" w:cs="Arial"/>
          <w:b/>
          <w:sz w:val="18"/>
          <w:lang w:eastAsia="es-MX"/>
        </w:rPr>
        <w:t xml:space="preserve">                             </w:t>
      </w:r>
      <w:r w:rsidR="00954059" w:rsidRPr="002C0B41">
        <w:rPr>
          <w:rFonts w:ascii="Arial" w:hAnsi="Arial" w:cs="Arial"/>
          <w:b/>
          <w:sz w:val="18"/>
          <w:lang w:eastAsia="es-MX"/>
        </w:rPr>
        <w:t>Fuente:</w:t>
      </w:r>
      <w:r w:rsidR="00954059">
        <w:rPr>
          <w:rFonts w:ascii="Arial" w:hAnsi="Arial" w:cs="Arial"/>
          <w:sz w:val="18"/>
          <w:lang w:eastAsia="es-MX"/>
        </w:rPr>
        <w:t xml:space="preserve"> Gutiérrez </w:t>
      </w:r>
      <w:r w:rsidR="00C87899">
        <w:rPr>
          <w:rFonts w:ascii="Arial" w:hAnsi="Arial" w:cs="Arial"/>
          <w:i/>
          <w:sz w:val="18"/>
          <w:lang w:eastAsia="es-MX"/>
        </w:rPr>
        <w:t>et</w:t>
      </w:r>
      <w:r w:rsidR="00954059" w:rsidRPr="00DE354C">
        <w:rPr>
          <w:rFonts w:ascii="Arial" w:hAnsi="Arial" w:cs="Arial"/>
          <w:i/>
          <w:sz w:val="18"/>
          <w:lang w:eastAsia="es-MX"/>
        </w:rPr>
        <w:t xml:space="preserve"> al.</w:t>
      </w:r>
      <w:r w:rsidR="00954059" w:rsidRPr="002C0B41">
        <w:rPr>
          <w:rFonts w:ascii="Arial" w:hAnsi="Arial" w:cs="Arial"/>
          <w:sz w:val="18"/>
          <w:lang w:eastAsia="es-MX"/>
        </w:rPr>
        <w:t xml:space="preserve"> (2017)</w:t>
      </w:r>
      <w:r w:rsidR="00954059">
        <w:rPr>
          <w:rFonts w:ascii="Arial" w:hAnsi="Arial" w:cs="Arial"/>
          <w:sz w:val="18"/>
          <w:lang w:eastAsia="es-MX"/>
        </w:rPr>
        <w:t>, p. 210</w:t>
      </w:r>
      <w:r w:rsidR="00954059" w:rsidRPr="002C0B41">
        <w:rPr>
          <w:rFonts w:ascii="Arial" w:hAnsi="Arial" w:cs="Arial"/>
          <w:sz w:val="18"/>
          <w:lang w:eastAsia="es-MX"/>
        </w:rPr>
        <w:t>.</w:t>
      </w:r>
    </w:p>
    <w:p w14:paraId="39D893B9" w14:textId="018BB210" w:rsidR="00954059" w:rsidRDefault="00954059" w:rsidP="00954059">
      <w:pPr>
        <w:spacing w:line="360" w:lineRule="auto"/>
        <w:jc w:val="both"/>
        <w:rPr>
          <w:rFonts w:ascii="Arial" w:hAnsi="Arial" w:cs="Arial"/>
          <w:lang w:eastAsia="es-MX"/>
        </w:rPr>
      </w:pPr>
      <w:r>
        <w:rPr>
          <w:rFonts w:ascii="Arial" w:hAnsi="Arial" w:cs="Arial"/>
          <w:lang w:eastAsia="es-MX"/>
        </w:rPr>
        <w:t xml:space="preserve">En específico, respecto a las características de la escuela de medicina del modelo de Bland-Meurer (reformulado por Querido </w:t>
      </w:r>
      <w:r w:rsidR="00C87899">
        <w:rPr>
          <w:rFonts w:ascii="Arial" w:hAnsi="Arial" w:cs="Arial"/>
          <w:i/>
          <w:lang w:eastAsia="es-MX"/>
        </w:rPr>
        <w:t>et</w:t>
      </w:r>
      <w:r w:rsidRPr="00A467B9">
        <w:rPr>
          <w:rFonts w:ascii="Arial" w:hAnsi="Arial" w:cs="Arial"/>
          <w:i/>
          <w:lang w:eastAsia="es-MX"/>
        </w:rPr>
        <w:t xml:space="preserve"> al.</w:t>
      </w:r>
      <w:r>
        <w:rPr>
          <w:rFonts w:ascii="Arial" w:hAnsi="Arial" w:cs="Arial"/>
          <w:lang w:eastAsia="es-MX"/>
        </w:rPr>
        <w:t xml:space="preserve">), Gutiérrez </w:t>
      </w:r>
      <w:r w:rsidR="00C87899">
        <w:rPr>
          <w:rFonts w:ascii="Arial" w:hAnsi="Arial" w:cs="Arial"/>
          <w:i/>
          <w:lang w:eastAsia="es-MX"/>
        </w:rPr>
        <w:t>et</w:t>
      </w:r>
      <w:r w:rsidRPr="00DE354C">
        <w:rPr>
          <w:rFonts w:ascii="Arial" w:hAnsi="Arial" w:cs="Arial"/>
          <w:i/>
          <w:lang w:eastAsia="es-MX"/>
        </w:rPr>
        <w:t xml:space="preserve"> al.</w:t>
      </w:r>
      <w:r>
        <w:rPr>
          <w:rFonts w:ascii="Arial" w:hAnsi="Arial" w:cs="Arial"/>
          <w:lang w:eastAsia="es-MX"/>
        </w:rPr>
        <w:t xml:space="preserve"> </w:t>
      </w:r>
      <w:r w:rsidR="00715A54">
        <w:rPr>
          <w:rFonts w:ascii="Arial" w:hAnsi="Arial" w:cs="Arial"/>
          <w:lang w:eastAsia="es-MX"/>
        </w:rPr>
        <w:t>Mencionan</w:t>
      </w:r>
      <w:r>
        <w:rPr>
          <w:rFonts w:ascii="Arial" w:hAnsi="Arial" w:cs="Arial"/>
          <w:lang w:eastAsia="es-MX"/>
        </w:rPr>
        <w:t>:</w:t>
      </w:r>
    </w:p>
    <w:p w14:paraId="44A7E5D1" w14:textId="77777777" w:rsidR="00954059" w:rsidRPr="00A467B9" w:rsidRDefault="00954059" w:rsidP="00954059">
      <w:pPr>
        <w:spacing w:line="360" w:lineRule="auto"/>
        <w:ind w:left="708"/>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mayor o menor carga hacia rotaciones quirúrgicas o de atención primaria (definida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14:paraId="782852F2" w14:textId="77777777" w:rsidR="00954059" w:rsidRPr="005441D1" w:rsidRDefault="00954059" w:rsidP="00954059">
      <w:pPr>
        <w:spacing w:line="360" w:lineRule="auto"/>
        <w:jc w:val="both"/>
        <w:rPr>
          <w:rFonts w:ascii="Arial" w:hAnsi="Arial" w:cs="Arial"/>
          <w:spacing w:val="-6"/>
          <w:lang w:eastAsia="es-MX"/>
        </w:rPr>
      </w:pPr>
      <w:r w:rsidRPr="005441D1">
        <w:rPr>
          <w:rFonts w:ascii="Arial" w:hAnsi="Arial" w:cs="Arial"/>
          <w:spacing w:val="-6"/>
          <w:lang w:eastAsia="es-MX"/>
        </w:rPr>
        <w:t>Adicionalmente, sobre la percepción y características de la especialidad, los autores mencionan:</w:t>
      </w:r>
    </w:p>
    <w:p w14:paraId="3E030DD1" w14:textId="77777777" w:rsidR="00954059" w:rsidRPr="006D6345" w:rsidRDefault="00954059" w:rsidP="00954059">
      <w:pPr>
        <w:spacing w:line="360" w:lineRule="auto"/>
        <w:ind w:left="708"/>
        <w:jc w:val="both"/>
        <w:rPr>
          <w:rFonts w:ascii="Arial" w:hAnsi="Arial" w:cs="Arial"/>
          <w:sz w:val="20"/>
          <w:lang w:eastAsia="es-MX"/>
        </w:rPr>
      </w:pPr>
      <w:r w:rsidRPr="001C312A">
        <w:rPr>
          <w:rFonts w:ascii="Arial" w:hAnsi="Arial" w:cs="Arial"/>
          <w:i/>
          <w:sz w:val="20"/>
          <w:lang w:eastAsia="es-MX"/>
        </w:rPr>
        <w:lastRenderedPageBreak/>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14:paraId="1635E72A" w14:textId="1D65317F" w:rsidR="00954059" w:rsidRDefault="00954059" w:rsidP="00954059">
      <w:pPr>
        <w:spacing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 xml:space="preserve">programa académico de la Especialidad en </w:t>
      </w:r>
      <w:r w:rsidR="00E06CD6" w:rsidRPr="00CC1CD9">
        <w:rPr>
          <w:rFonts w:ascii="Arial" w:hAnsi="Arial" w:cs="Arial"/>
          <w:lang w:eastAsia="es-MX"/>
        </w:rPr>
        <w:t>Anestesiologí</w:t>
      </w:r>
      <w:r w:rsidRPr="00CC1CD9">
        <w:rPr>
          <w:rFonts w:ascii="Arial" w:hAnsi="Arial" w:cs="Arial"/>
          <w:lang w:eastAsia="es-MX"/>
        </w:rPr>
        <w:t xml:space="preserve">a </w:t>
      </w:r>
      <w:r w:rsidRPr="001C312A">
        <w:rPr>
          <w:rFonts w:ascii="Arial" w:hAnsi="Arial" w:cs="Arial"/>
          <w:lang w:eastAsia="es-MX"/>
        </w:rPr>
        <w:t>que oferta la Universidad la Salle</w:t>
      </w:r>
      <w:r>
        <w:rPr>
          <w:rFonts w:ascii="Arial" w:hAnsi="Arial" w:cs="Arial"/>
          <w:lang w:eastAsia="es-MX"/>
        </w:rPr>
        <w:t>.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w:t>
      </w:r>
      <w:r w:rsidR="00F260F1">
        <w:rPr>
          <w:rFonts w:ascii="Arial" w:hAnsi="Arial" w:cs="Arial"/>
          <w:lang w:eastAsia="es-MX"/>
        </w:rPr>
        <w:t>da 100,000 habitantes (Gráfica 9</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14:paraId="5B131B44" w14:textId="098FD160" w:rsidR="00954059" w:rsidRPr="004A29D9" w:rsidRDefault="0019648E" w:rsidP="00954059">
      <w:pPr>
        <w:spacing w:line="360" w:lineRule="auto"/>
        <w:jc w:val="center"/>
        <w:rPr>
          <w:rFonts w:ascii="Arial" w:hAnsi="Arial" w:cs="Arial"/>
          <w:b/>
          <w:lang w:eastAsia="es-MX"/>
        </w:rPr>
      </w:pPr>
      <w:r w:rsidRPr="00CA61C8">
        <w:rPr>
          <w:rFonts w:ascii="Arial" w:hAnsi="Arial" w:cs="Arial"/>
          <w:b/>
          <w:lang w:eastAsia="es-MX"/>
        </w:rPr>
        <w:t xml:space="preserve">Gráfica </w:t>
      </w:r>
      <w:r w:rsidR="00F360AA" w:rsidRPr="00CA61C8">
        <w:rPr>
          <w:rFonts w:ascii="Arial" w:hAnsi="Arial" w:cs="Arial"/>
          <w:b/>
          <w:lang w:eastAsia="es-MX"/>
        </w:rPr>
        <w:t>9</w:t>
      </w:r>
      <w:r w:rsidR="00954059" w:rsidRPr="00CA61C8">
        <w:rPr>
          <w:rFonts w:ascii="Arial" w:hAnsi="Arial" w:cs="Arial"/>
          <w:b/>
          <w:lang w:eastAsia="es-MX"/>
        </w:rPr>
        <w:t>.</w:t>
      </w:r>
      <w:r w:rsidR="00954059" w:rsidRPr="004A29D9">
        <w:rPr>
          <w:rFonts w:ascii="Arial" w:hAnsi="Arial" w:cs="Arial"/>
          <w:b/>
          <w:lang w:eastAsia="es-MX"/>
        </w:rPr>
        <w:t xml:space="preserve"> Tasa de médicos graduados en diversos países de la OCDE, 2016 (o años más reciente).</w:t>
      </w:r>
    </w:p>
    <w:p w14:paraId="0709D9EC" w14:textId="77777777" w:rsidR="00954059" w:rsidRDefault="00954059" w:rsidP="00954059">
      <w:pPr>
        <w:spacing w:after="0" w:line="360" w:lineRule="auto"/>
        <w:jc w:val="center"/>
        <w:rPr>
          <w:rFonts w:ascii="Arial" w:hAnsi="Arial" w:cs="Arial"/>
          <w:lang w:eastAsia="es-MX"/>
        </w:rPr>
      </w:pPr>
      <w:r>
        <w:rPr>
          <w:noProof/>
          <w:lang w:eastAsia="es-MX"/>
        </w:rPr>
        <w:drawing>
          <wp:inline distT="0" distB="0" distL="0" distR="0" wp14:anchorId="0104947F" wp14:editId="245E032B">
            <wp:extent cx="5172075" cy="2786332"/>
            <wp:effectExtent l="0" t="0" r="9525" b="14605"/>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FF9DA86" w14:textId="77777777" w:rsidR="00954059" w:rsidRDefault="00954059" w:rsidP="00954059">
      <w:pPr>
        <w:spacing w:after="0" w:line="360" w:lineRule="auto"/>
        <w:jc w:val="center"/>
        <w:rPr>
          <w:rFonts w:ascii="Arial" w:hAnsi="Arial" w:cs="Arial"/>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14:paraId="0D61A455" w14:textId="4AFC9C44" w:rsidR="00954059" w:rsidRDefault="00954059" w:rsidP="00954059">
      <w:pPr>
        <w:spacing w:line="360" w:lineRule="auto"/>
        <w:jc w:val="both"/>
        <w:rPr>
          <w:rFonts w:ascii="Arial" w:hAnsi="Arial" w:cs="Arial"/>
          <w:lang w:eastAsia="es-MX"/>
        </w:rPr>
      </w:pPr>
      <w:r>
        <w:rPr>
          <w:rFonts w:ascii="Arial" w:hAnsi="Arial" w:cs="Arial"/>
          <w:lang w:eastAsia="es-MX"/>
        </w:rPr>
        <w:lastRenderedPageBreak/>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84"/>
      </w:r>
      <w:r>
        <w:rPr>
          <w:rFonts w:ascii="Arial" w:hAnsi="Arial" w:cs="Arial"/>
          <w:lang w:eastAsia="es-MX"/>
        </w:rPr>
        <w:t>; sin embargo, una proporción considerable de los egresados deciden dedicarse a la práctica de la medicina general y a la atención ambulatoria de primer nivel</w:t>
      </w:r>
      <w:r w:rsidR="00D037C1">
        <w:rPr>
          <w:rFonts w:ascii="Arial" w:hAnsi="Arial" w:cs="Arial"/>
          <w:lang w:eastAsia="es-MX"/>
        </w:rPr>
        <w:t xml:space="preserve">. Entonces, la </w:t>
      </w:r>
      <w:r w:rsidRPr="0045180E">
        <w:rPr>
          <w:rFonts w:ascii="Arial" w:hAnsi="Arial" w:cs="Arial"/>
          <w:lang w:eastAsia="es-MX"/>
        </w:rPr>
        <w:t>demanda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Gráfica </w:t>
      </w:r>
      <w:r w:rsidR="00112F1F">
        <w:rPr>
          <w:rFonts w:ascii="Arial" w:hAnsi="Arial" w:cs="Arial"/>
          <w:lang w:eastAsia="es-MX"/>
        </w:rPr>
        <w:t>1</w:t>
      </w:r>
      <w:r w:rsidR="00F75DA8">
        <w:rPr>
          <w:rFonts w:ascii="Arial" w:hAnsi="Arial" w:cs="Arial"/>
          <w:lang w:eastAsia="es-MX"/>
        </w:rPr>
        <w:t>0</w:t>
      </w:r>
      <w:r>
        <w:rPr>
          <w:rFonts w:ascii="Arial" w:hAnsi="Arial" w:cs="Arial"/>
          <w:lang w:eastAsia="es-MX"/>
        </w:rPr>
        <w:t xml:space="preserve"> muestra la evolución de los sustentantes en el período 2010-2018; en estos años se muestra una clara tendencia a la alza, con una tasa promedio de incremento de 8.1% anual. Asimismo, se hizo un pronóstico estocástico de la variable con el objetivo de indagar el volumen de la demanda –sustentantes–  en especialidades médicas; para 2019, se proyecta que haya 41.5 mil aspirantes a especialidades médicas (38.9-44.2 para un IP de 95%). Para 2024, el pronóstico indica que de seguir la tendencia a la alza, la demanda de médicos por las especialidades puede ser 53.4 sustentantes (50.7-56.1 IP 95%).</w:t>
      </w:r>
    </w:p>
    <w:p w14:paraId="75EA0B05" w14:textId="19AC4B81" w:rsidR="00954059" w:rsidRPr="00914CC9" w:rsidRDefault="00954059" w:rsidP="00954059">
      <w:pPr>
        <w:spacing w:line="360" w:lineRule="auto"/>
        <w:jc w:val="center"/>
        <w:rPr>
          <w:rFonts w:ascii="Arial" w:hAnsi="Arial" w:cs="Arial"/>
          <w:b/>
          <w:lang w:eastAsia="es-MX"/>
        </w:rPr>
      </w:pPr>
      <w:r w:rsidRPr="00914CC9">
        <w:rPr>
          <w:rFonts w:ascii="Arial" w:hAnsi="Arial" w:cs="Arial"/>
          <w:b/>
          <w:lang w:eastAsia="es-MX"/>
        </w:rPr>
        <w:t>Gráfica</w:t>
      </w:r>
      <w:r w:rsidR="0019648E">
        <w:rPr>
          <w:rFonts w:ascii="Arial" w:hAnsi="Arial" w:cs="Arial"/>
          <w:b/>
          <w:lang w:eastAsia="es-MX"/>
        </w:rPr>
        <w:t xml:space="preserve"> </w:t>
      </w:r>
      <w:r w:rsidR="00556771">
        <w:rPr>
          <w:rFonts w:ascii="Arial" w:hAnsi="Arial" w:cs="Arial"/>
          <w:b/>
          <w:lang w:eastAsia="es-MX"/>
        </w:rPr>
        <w:t>1</w:t>
      </w:r>
      <w:r w:rsidR="00F360AA">
        <w:rPr>
          <w:rFonts w:ascii="Arial" w:hAnsi="Arial" w:cs="Arial"/>
          <w:b/>
          <w:lang w:eastAsia="es-MX"/>
        </w:rPr>
        <w:t>0</w:t>
      </w:r>
      <w:r w:rsidRPr="00914CC9">
        <w:rPr>
          <w:rFonts w:ascii="Arial" w:hAnsi="Arial" w:cs="Arial"/>
          <w:b/>
          <w:lang w:eastAsia="es-MX"/>
        </w:rPr>
        <w:t>. Evolución y pronósticos de sustentantes del ENARM, 2010-2014.</w:t>
      </w:r>
    </w:p>
    <w:p w14:paraId="2EB5BD39" w14:textId="77777777" w:rsidR="00954059" w:rsidRDefault="00954059" w:rsidP="00954059">
      <w:pPr>
        <w:spacing w:after="0" w:line="360" w:lineRule="auto"/>
        <w:jc w:val="center"/>
        <w:rPr>
          <w:rFonts w:ascii="Arial" w:hAnsi="Arial" w:cs="Arial"/>
          <w:lang w:eastAsia="es-MX"/>
        </w:rPr>
      </w:pPr>
      <w:r>
        <w:rPr>
          <w:noProof/>
          <w:lang w:eastAsia="es-MX"/>
        </w:rPr>
        <w:drawing>
          <wp:inline distT="0" distB="0" distL="0" distR="0" wp14:anchorId="46ADEBAC" wp14:editId="1936FE17">
            <wp:extent cx="5005388" cy="2852738"/>
            <wp:effectExtent l="0" t="0" r="5080" b="5080"/>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D28F7AC" w14:textId="77777777" w:rsidR="00954059" w:rsidRPr="000A3DCE" w:rsidRDefault="00954059" w:rsidP="00954059">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14:paraId="0933C3BA" w14:textId="57693121" w:rsidR="00E06CD6" w:rsidRDefault="00E06CD6" w:rsidP="00E06CD6">
      <w:pPr>
        <w:spacing w:line="360" w:lineRule="auto"/>
        <w:jc w:val="both"/>
        <w:rPr>
          <w:rFonts w:ascii="Arial" w:hAnsi="Arial" w:cs="Arial"/>
          <w:lang w:eastAsia="es-MX"/>
        </w:rPr>
      </w:pPr>
      <w:r w:rsidRPr="00556771">
        <w:rPr>
          <w:rFonts w:ascii="Arial" w:hAnsi="Arial" w:cs="Arial"/>
          <w:spacing w:val="-6"/>
          <w:lang w:eastAsia="es-MX"/>
        </w:rPr>
        <w:lastRenderedPageBreak/>
        <w:t xml:space="preserve">Específicamente para la especialidad de Anestesiología, en 2018, se ofertaron 943 lugares, es decir, 10.7% de las plazas ofertadas por el ENARM corresponden a dicha especialidad. </w:t>
      </w:r>
      <w:r w:rsidR="001472B8" w:rsidRPr="00556771">
        <w:rPr>
          <w:rFonts w:ascii="Arial" w:hAnsi="Arial" w:cs="Arial"/>
          <w:spacing w:val="-6"/>
          <w:lang w:eastAsia="es-MX"/>
        </w:rPr>
        <w:t>Durante el período 2012-2018</w:t>
      </w:r>
      <w:r w:rsidRPr="00556771">
        <w:rPr>
          <w:rFonts w:ascii="Arial" w:hAnsi="Arial" w:cs="Arial"/>
          <w:spacing w:val="-6"/>
          <w:lang w:eastAsia="es-MX"/>
        </w:rPr>
        <w:t xml:space="preserve"> (Gráfica</w:t>
      </w:r>
      <w:r w:rsidR="00F260F1" w:rsidRPr="00556771">
        <w:rPr>
          <w:rFonts w:ascii="Arial" w:hAnsi="Arial" w:cs="Arial"/>
          <w:spacing w:val="-6"/>
          <w:lang w:eastAsia="es-MX"/>
        </w:rPr>
        <w:t xml:space="preserve"> 11</w:t>
      </w:r>
      <w:r w:rsidRPr="00556771">
        <w:rPr>
          <w:rFonts w:ascii="Arial" w:hAnsi="Arial" w:cs="Arial"/>
          <w:spacing w:val="-6"/>
          <w:lang w:eastAsia="es-MX"/>
        </w:rPr>
        <w:t>) se observa un</w:t>
      </w:r>
      <w:r w:rsidR="001472B8" w:rsidRPr="00556771">
        <w:rPr>
          <w:rFonts w:ascii="Arial" w:hAnsi="Arial" w:cs="Arial"/>
          <w:spacing w:val="-6"/>
          <w:lang w:eastAsia="es-MX"/>
        </w:rPr>
        <w:t>a tendencia a</w:t>
      </w:r>
      <w:r w:rsidR="00D23750" w:rsidRPr="00556771">
        <w:rPr>
          <w:rFonts w:ascii="Arial" w:hAnsi="Arial" w:cs="Arial"/>
          <w:spacing w:val="-6"/>
          <w:lang w:eastAsia="es-MX"/>
        </w:rPr>
        <w:t xml:space="preserve"> </w:t>
      </w:r>
      <w:r w:rsidR="001472B8" w:rsidRPr="00556771">
        <w:rPr>
          <w:rFonts w:ascii="Arial" w:hAnsi="Arial" w:cs="Arial"/>
          <w:spacing w:val="-6"/>
          <w:lang w:eastAsia="es-MX"/>
        </w:rPr>
        <w:t>l</w:t>
      </w:r>
      <w:r w:rsidR="00D23750" w:rsidRPr="00556771">
        <w:rPr>
          <w:rFonts w:ascii="Arial" w:hAnsi="Arial" w:cs="Arial"/>
          <w:spacing w:val="-6"/>
          <w:lang w:eastAsia="es-MX"/>
        </w:rPr>
        <w:t>a</w:t>
      </w:r>
      <w:r w:rsidRPr="00556771">
        <w:rPr>
          <w:rFonts w:ascii="Arial" w:hAnsi="Arial" w:cs="Arial"/>
          <w:spacing w:val="-6"/>
          <w:lang w:eastAsia="es-MX"/>
        </w:rPr>
        <w:t xml:space="preserve"> alza de los lugares ofertados de la especialidad, con una tasa promedio de crecimiento de 3.4% anual. Además, en 2017 se registró el mayor crecimiento absoluto y relativo del período, </w:t>
      </w:r>
      <w:r w:rsidR="001472B8" w:rsidRPr="00556771">
        <w:rPr>
          <w:rFonts w:ascii="Arial" w:hAnsi="Arial" w:cs="Arial"/>
          <w:spacing w:val="-6"/>
          <w:lang w:eastAsia="es-MX"/>
        </w:rPr>
        <w:t>ya que se ofertaron 930 lugares</w:t>
      </w:r>
      <w:r w:rsidRPr="00556771">
        <w:rPr>
          <w:rFonts w:ascii="Arial" w:hAnsi="Arial" w:cs="Arial"/>
          <w:spacing w:val="-6"/>
          <w:lang w:eastAsia="es-MX"/>
        </w:rPr>
        <w:t xml:space="preserve"> </w:t>
      </w:r>
      <w:r w:rsidR="001472B8" w:rsidRPr="00556771">
        <w:rPr>
          <w:rFonts w:ascii="Arial" w:hAnsi="Arial" w:cs="Arial"/>
          <w:spacing w:val="-6"/>
          <w:lang w:eastAsia="es-MX"/>
        </w:rPr>
        <w:t>y,</w:t>
      </w:r>
      <w:r w:rsidRPr="00556771">
        <w:rPr>
          <w:rFonts w:ascii="Arial" w:hAnsi="Arial" w:cs="Arial"/>
          <w:spacing w:val="-6"/>
          <w:lang w:eastAsia="es-MX"/>
        </w:rPr>
        <w:t xml:space="preserve"> en consecuencia, a partir de dicho año, los lugares ofertados para Anestesiología están por arriba de 900 al año. Al respecto de estos incrementos, Graue expone que son aumentos inmediatos con el fin remediar carencias en ciertas áreas</w:t>
      </w:r>
      <w:r w:rsidRPr="00556771">
        <w:rPr>
          <w:rStyle w:val="Refdenotaalpie"/>
          <w:rFonts w:ascii="Arial" w:hAnsi="Arial" w:cs="Arial"/>
          <w:spacing w:val="-6"/>
          <w:lang w:eastAsia="es-MX"/>
        </w:rPr>
        <w:footnoteReference w:id="85"/>
      </w:r>
      <w:r w:rsidRPr="00556771">
        <w:rPr>
          <w:rFonts w:ascii="Arial" w:hAnsi="Arial" w:cs="Arial"/>
          <w:spacing w:val="-6"/>
          <w:lang w:eastAsia="es-MX"/>
        </w:rPr>
        <w:t>.</w:t>
      </w:r>
      <w:r>
        <w:rPr>
          <w:rFonts w:ascii="Arial" w:hAnsi="Arial" w:cs="Arial"/>
          <w:lang w:eastAsia="es-MX"/>
        </w:rPr>
        <w:t xml:space="preserve"> </w:t>
      </w:r>
      <w:r w:rsidRPr="00556771">
        <w:rPr>
          <w:rFonts w:ascii="Arial" w:hAnsi="Arial" w:cs="Arial"/>
          <w:spacing w:val="-6"/>
          <w:lang w:eastAsia="es-MX"/>
        </w:rPr>
        <w:t>Adicionalmente, es importante señalar que las cifras de postulantes y seleccionados por especialidad no están disponibles en el portal web de CIFRHS, lo cual representa la demanda neta de la especialidad. A pesar de lo anterior, en este análisis se asume que los lugares ofertados para la especialidad se ocupan al 100%, ya que el número de sustentantes es 4.5 veces mayor a lo ofertado; por ejemplo, Fajardo menciona que en especialidades básicas, generalmente, se ofertan una plaza de residente por cada 8 aspirantes</w:t>
      </w:r>
      <w:r w:rsidRPr="00556771">
        <w:rPr>
          <w:rStyle w:val="Refdenotaalpie"/>
          <w:rFonts w:ascii="Arial" w:hAnsi="Arial" w:cs="Arial"/>
          <w:spacing w:val="-6"/>
          <w:lang w:eastAsia="es-MX"/>
        </w:rPr>
        <w:footnoteReference w:id="86"/>
      </w:r>
      <w:r w:rsidRPr="00556771">
        <w:rPr>
          <w:rFonts w:ascii="Arial" w:hAnsi="Arial" w:cs="Arial"/>
          <w:spacing w:val="-6"/>
          <w:lang w:eastAsia="es-MX"/>
        </w:rPr>
        <w:t>. Por otro lado, si la demanda por la especialidad en Anestesiología fuera análoga a la proporción que ésta representa en el total de lugares ofertados, entonces existirían alrededor de 4,298 médicos postulando a la especialidad, pero como se mencionó oportunamente, la formación de médicos especialistas se ha dado de forma inercial, es decir, “</w:t>
      </w:r>
      <w:r w:rsidRPr="00556771">
        <w:rPr>
          <w:rFonts w:ascii="Arial" w:hAnsi="Arial" w:cs="Arial"/>
          <w:i/>
          <w:spacing w:val="-6"/>
          <w:lang w:eastAsia="es-MX"/>
        </w:rPr>
        <w:t>no obedecen a una proyección prospectiva y organizada, sino más bien a tendencias inerciales o a carencias en ciertas áreas que se pretenden remediar con aumentos inmediatos en el número de ellas</w:t>
      </w:r>
      <w:r w:rsidRPr="00556771">
        <w:rPr>
          <w:rFonts w:ascii="Arial" w:hAnsi="Arial" w:cs="Arial"/>
          <w:spacing w:val="-6"/>
          <w:lang w:eastAsia="es-MX"/>
        </w:rPr>
        <w:t>”</w:t>
      </w:r>
      <w:r w:rsidRPr="00556771">
        <w:rPr>
          <w:rStyle w:val="Refdenotaalpie"/>
          <w:rFonts w:ascii="Arial" w:hAnsi="Arial" w:cs="Arial"/>
          <w:spacing w:val="-6"/>
          <w:lang w:eastAsia="es-MX"/>
        </w:rPr>
        <w:footnoteReference w:id="87"/>
      </w:r>
      <w:r w:rsidRPr="00556771">
        <w:rPr>
          <w:rFonts w:ascii="Arial" w:hAnsi="Arial" w:cs="Arial"/>
          <w:spacing w:val="-6"/>
          <w:lang w:eastAsia="es-MX"/>
        </w:rPr>
        <w:t>.</w:t>
      </w:r>
    </w:p>
    <w:p w14:paraId="21E86434" w14:textId="079CF019" w:rsidR="00E06CD6" w:rsidRPr="000E4FBB" w:rsidRDefault="00E06CD6" w:rsidP="00556771">
      <w:pPr>
        <w:spacing w:line="240" w:lineRule="auto"/>
        <w:jc w:val="center"/>
        <w:rPr>
          <w:rFonts w:ascii="Arial" w:hAnsi="Arial" w:cs="Arial"/>
          <w:b/>
          <w:lang w:eastAsia="es-MX"/>
        </w:rPr>
      </w:pPr>
      <w:r w:rsidRPr="000E4FBB">
        <w:rPr>
          <w:rFonts w:ascii="Arial" w:hAnsi="Arial" w:cs="Arial"/>
          <w:b/>
          <w:lang w:eastAsia="es-MX"/>
        </w:rPr>
        <w:t>Gráfica</w:t>
      </w:r>
      <w:r w:rsidR="0019648E">
        <w:rPr>
          <w:rFonts w:ascii="Arial" w:hAnsi="Arial" w:cs="Arial"/>
          <w:b/>
          <w:lang w:eastAsia="es-MX"/>
        </w:rPr>
        <w:t xml:space="preserve"> </w:t>
      </w:r>
      <w:r w:rsidR="00F75DA8">
        <w:rPr>
          <w:rFonts w:ascii="Arial" w:hAnsi="Arial" w:cs="Arial"/>
          <w:b/>
          <w:lang w:eastAsia="es-MX"/>
        </w:rPr>
        <w:t>11</w:t>
      </w:r>
      <w:r w:rsidRPr="000E4FBB">
        <w:rPr>
          <w:rFonts w:ascii="Arial" w:hAnsi="Arial" w:cs="Arial"/>
          <w:b/>
          <w:lang w:eastAsia="es-MX"/>
        </w:rPr>
        <w:t xml:space="preserve">. Lugares ofertados en la especialidad de </w:t>
      </w:r>
      <w:r>
        <w:rPr>
          <w:rFonts w:ascii="Arial" w:hAnsi="Arial" w:cs="Arial"/>
          <w:b/>
          <w:lang w:eastAsia="es-MX"/>
        </w:rPr>
        <w:t>Anestesiología</w:t>
      </w:r>
      <w:r w:rsidRPr="000E4FBB">
        <w:rPr>
          <w:rFonts w:ascii="Arial" w:hAnsi="Arial" w:cs="Arial"/>
          <w:b/>
          <w:lang w:eastAsia="es-MX"/>
        </w:rPr>
        <w:t xml:space="preserve"> en las convocatorias del ENARM, 2012-2018.</w:t>
      </w:r>
    </w:p>
    <w:p w14:paraId="6B58EA1E" w14:textId="77777777" w:rsidR="00E06CD6" w:rsidRDefault="00E06CD6" w:rsidP="00E06CD6">
      <w:pPr>
        <w:spacing w:after="0" w:line="360" w:lineRule="auto"/>
        <w:jc w:val="center"/>
        <w:rPr>
          <w:rFonts w:ascii="Arial" w:hAnsi="Arial" w:cs="Arial"/>
          <w:lang w:eastAsia="es-MX"/>
        </w:rPr>
      </w:pPr>
      <w:r>
        <w:rPr>
          <w:noProof/>
          <w:lang w:eastAsia="es-MX"/>
        </w:rPr>
        <w:drawing>
          <wp:inline distT="0" distB="0" distL="0" distR="0" wp14:anchorId="0F9D4216" wp14:editId="27CA9EBD">
            <wp:extent cx="4572000" cy="1949570"/>
            <wp:effectExtent l="0" t="0" r="0" b="12700"/>
            <wp:docPr id="37" name="Gráfico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D1A68D3" w14:textId="77777777" w:rsidR="00E06CD6" w:rsidRDefault="00E06CD6" w:rsidP="00E06CD6">
      <w:pPr>
        <w:spacing w:after="0" w:line="360" w:lineRule="auto"/>
        <w:jc w:val="center"/>
        <w:rPr>
          <w:rFonts w:ascii="Arial" w:hAnsi="Arial" w:cs="Arial"/>
          <w:lang w:eastAsia="es-MX"/>
        </w:rPr>
      </w:pPr>
      <w:r w:rsidRPr="00CA0DD2">
        <w:rPr>
          <w:rFonts w:ascii="Arial" w:hAnsi="Arial" w:cs="Arial"/>
          <w:b/>
          <w:sz w:val="18"/>
          <w:lang w:eastAsia="es-MX"/>
        </w:rPr>
        <w:t>Fuente:</w:t>
      </w:r>
      <w:r w:rsidRPr="00CA0DD2">
        <w:rPr>
          <w:rFonts w:ascii="Arial" w:hAnsi="Arial" w:cs="Arial"/>
          <w:sz w:val="18"/>
          <w:lang w:eastAsia="es-MX"/>
        </w:rPr>
        <w:t xml:space="preserve"> Elaboración propia con base en </w:t>
      </w:r>
    </w:p>
    <w:p w14:paraId="343EF796" w14:textId="77777777" w:rsidR="00E06CD6" w:rsidRDefault="00E06CD6" w:rsidP="00E06CD6">
      <w:pPr>
        <w:spacing w:line="360" w:lineRule="auto"/>
        <w:jc w:val="both"/>
        <w:rPr>
          <w:rFonts w:ascii="Arial" w:hAnsi="Arial" w:cs="Arial"/>
          <w:lang w:eastAsia="es-MX"/>
        </w:rPr>
      </w:pPr>
      <w:r>
        <w:rPr>
          <w:rFonts w:ascii="Arial" w:hAnsi="Arial" w:cs="Arial"/>
          <w:lang w:eastAsia="es-MX"/>
        </w:rPr>
        <w:lastRenderedPageBreak/>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88"/>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89"/>
      </w:r>
      <w:r>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14:paraId="6EACF94D" w14:textId="0CC2224A" w:rsidR="005B44CA" w:rsidRPr="00E77384" w:rsidRDefault="005B44CA" w:rsidP="005B44CA">
      <w:pPr>
        <w:spacing w:after="120" w:line="360" w:lineRule="auto"/>
        <w:ind w:right="-79"/>
        <w:jc w:val="both"/>
        <w:rPr>
          <w:rFonts w:ascii="Arial" w:eastAsiaTheme="majorEastAsia" w:hAnsi="Arial" w:cs="Arial"/>
          <w:b/>
          <w:lang w:bidi="en-US"/>
        </w:rPr>
      </w:pPr>
      <w:r w:rsidRPr="00E77384">
        <w:rPr>
          <w:rFonts w:ascii="Arial" w:eastAsiaTheme="majorEastAsia" w:hAnsi="Arial" w:cs="Arial"/>
          <w:b/>
          <w:lang w:bidi="en-US"/>
        </w:rPr>
        <w:t xml:space="preserve">V. MERCADO LABORAL </w:t>
      </w:r>
    </w:p>
    <w:p w14:paraId="7CE4E792" w14:textId="5E00D1F0" w:rsidR="005B44CA" w:rsidRDefault="005B44CA" w:rsidP="005B44CA">
      <w:pPr>
        <w:spacing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90"/>
      </w:r>
      <w:r w:rsidR="001A1AED">
        <w:rPr>
          <w:rFonts w:ascii="Arial" w:hAnsi="Arial" w:cs="Arial"/>
        </w:rPr>
        <w:t>, en cambio, en el sector privad</w:t>
      </w:r>
      <w:r>
        <w:rPr>
          <w:rFonts w:ascii="Arial" w:hAnsi="Arial" w:cs="Arial"/>
        </w:rPr>
        <w:t>o se estima una proporción de 48%</w:t>
      </w:r>
      <w:r>
        <w:rPr>
          <w:rStyle w:val="Refdenotaalpie"/>
          <w:rFonts w:ascii="Arial" w:hAnsi="Arial" w:cs="Arial"/>
        </w:rPr>
        <w:footnoteReference w:id="91"/>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92"/>
      </w:r>
      <w:r>
        <w:rPr>
          <w:rFonts w:ascii="Arial" w:hAnsi="Arial" w:cs="Arial"/>
        </w:rPr>
        <w:t xml:space="preserve">. </w:t>
      </w:r>
    </w:p>
    <w:p w14:paraId="7494BBC1" w14:textId="77777777" w:rsidR="005B44CA" w:rsidRDefault="005B44CA" w:rsidP="005B44CA">
      <w:pPr>
        <w:spacing w:line="360" w:lineRule="auto"/>
        <w:jc w:val="both"/>
        <w:rPr>
          <w:rFonts w:ascii="Arial" w:hAnsi="Arial" w:cs="Arial"/>
        </w:rPr>
      </w:pPr>
      <w:r>
        <w:rPr>
          <w:rFonts w:ascii="Arial" w:hAnsi="Arial" w:cs="Arial"/>
        </w:rPr>
        <w:t>Respecto a la distribución geográfica de los especialistas, tan sólo la Ciudad de México aglomera 30.1% de los especialistas a nivel nacional, le siguen Jalisco, el Estado de México y Nuevo León con 9.4%, 8.1% y 6.6%, respectivamente</w:t>
      </w:r>
      <w:r>
        <w:rPr>
          <w:rStyle w:val="Refdenotaalpie"/>
          <w:rFonts w:ascii="Arial" w:hAnsi="Arial" w:cs="Arial"/>
        </w:rPr>
        <w:footnoteReference w:id="93"/>
      </w:r>
      <w:r>
        <w:rPr>
          <w:rFonts w:ascii="Arial" w:hAnsi="Arial" w:cs="Arial"/>
        </w:rPr>
        <w:t xml:space="preserve">.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w:t>
      </w:r>
      <w:r>
        <w:rPr>
          <w:rFonts w:ascii="Arial" w:hAnsi="Arial" w:cs="Arial"/>
        </w:rPr>
        <w:lastRenderedPageBreak/>
        <w:t>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94"/>
      </w:r>
      <w:r>
        <w:rPr>
          <w:rFonts w:ascii="Arial" w:hAnsi="Arial" w:cs="Arial"/>
        </w:rPr>
        <w:t>.</w:t>
      </w:r>
    </w:p>
    <w:p w14:paraId="08F3D4BA" w14:textId="32D7B405" w:rsidR="005B44CA" w:rsidRPr="0019648E" w:rsidRDefault="005B44CA" w:rsidP="005B44CA">
      <w:pPr>
        <w:spacing w:line="360" w:lineRule="auto"/>
        <w:jc w:val="center"/>
        <w:rPr>
          <w:rFonts w:ascii="Arial" w:hAnsi="Arial" w:cs="Arial"/>
          <w:b/>
          <w:spacing w:val="-4"/>
        </w:rPr>
      </w:pPr>
      <w:r w:rsidRPr="0019648E">
        <w:rPr>
          <w:rFonts w:ascii="Arial" w:hAnsi="Arial" w:cs="Arial"/>
          <w:b/>
          <w:spacing w:val="-4"/>
        </w:rPr>
        <w:t>Cuadro</w:t>
      </w:r>
      <w:r w:rsidR="001472B8" w:rsidRPr="0019648E">
        <w:rPr>
          <w:rFonts w:ascii="Arial" w:hAnsi="Arial" w:cs="Arial"/>
          <w:b/>
          <w:spacing w:val="-4"/>
        </w:rPr>
        <w:t xml:space="preserve"> </w:t>
      </w:r>
      <w:r w:rsidR="00556771">
        <w:rPr>
          <w:rFonts w:ascii="Arial" w:hAnsi="Arial" w:cs="Arial"/>
          <w:b/>
          <w:spacing w:val="-4"/>
        </w:rPr>
        <w:t>10</w:t>
      </w:r>
      <w:r w:rsidRPr="0019648E">
        <w:rPr>
          <w:rFonts w:ascii="Arial" w:hAnsi="Arial" w:cs="Arial"/>
          <w:b/>
          <w:spacing w:val="-4"/>
        </w:rPr>
        <w:t>. Distribución de los especialistas médicos en México según entidad, 2017.</w:t>
      </w:r>
    </w:p>
    <w:tbl>
      <w:tblPr>
        <w:tblW w:w="4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0"/>
        <w:gridCol w:w="1380"/>
        <w:gridCol w:w="1200"/>
      </w:tblGrid>
      <w:tr w:rsidR="005B44CA" w:rsidRPr="00C06872" w14:paraId="734A3A8E" w14:textId="77777777" w:rsidTr="00A56C18">
        <w:trPr>
          <w:trHeight w:val="600"/>
          <w:jc w:val="center"/>
        </w:trPr>
        <w:tc>
          <w:tcPr>
            <w:tcW w:w="1700" w:type="dxa"/>
            <w:shd w:val="clear" w:color="auto" w:fill="5B9BD5" w:themeFill="accent1"/>
            <w:vAlign w:val="center"/>
            <w:hideMark/>
          </w:tcPr>
          <w:p w14:paraId="0D348F8F" w14:textId="77777777" w:rsidR="005B44CA" w:rsidRPr="00C06872" w:rsidRDefault="005B44CA" w:rsidP="005B44CA">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Entidad</w:t>
            </w:r>
          </w:p>
        </w:tc>
        <w:tc>
          <w:tcPr>
            <w:tcW w:w="1380" w:type="dxa"/>
            <w:shd w:val="clear" w:color="auto" w:fill="5B9BD5" w:themeFill="accent1"/>
            <w:vAlign w:val="center"/>
            <w:hideMark/>
          </w:tcPr>
          <w:p w14:paraId="347405F7" w14:textId="77777777" w:rsidR="005B44CA" w:rsidRPr="00C06872" w:rsidRDefault="005B44CA" w:rsidP="005B44CA">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Médicos especialistas</w:t>
            </w:r>
          </w:p>
        </w:tc>
        <w:tc>
          <w:tcPr>
            <w:tcW w:w="1200" w:type="dxa"/>
            <w:shd w:val="clear" w:color="auto" w:fill="5B9BD5" w:themeFill="accent1"/>
            <w:vAlign w:val="center"/>
            <w:hideMark/>
          </w:tcPr>
          <w:p w14:paraId="6215A43A" w14:textId="77777777" w:rsidR="005B44CA" w:rsidRPr="00C06872" w:rsidRDefault="005B44CA" w:rsidP="005B44CA">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Tasa</w:t>
            </w:r>
          </w:p>
        </w:tc>
      </w:tr>
      <w:tr w:rsidR="005B44CA" w:rsidRPr="00C06872" w14:paraId="380439F9" w14:textId="77777777" w:rsidTr="00A56C18">
        <w:trPr>
          <w:trHeight w:val="300"/>
          <w:jc w:val="center"/>
        </w:trPr>
        <w:tc>
          <w:tcPr>
            <w:tcW w:w="1700" w:type="dxa"/>
            <w:shd w:val="clear" w:color="auto" w:fill="auto"/>
            <w:noWrap/>
            <w:vAlign w:val="center"/>
            <w:hideMark/>
          </w:tcPr>
          <w:p w14:paraId="01B55299"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Ciudad de México</w:t>
            </w:r>
          </w:p>
        </w:tc>
        <w:tc>
          <w:tcPr>
            <w:tcW w:w="1380" w:type="dxa"/>
            <w:shd w:val="clear" w:color="auto" w:fill="auto"/>
            <w:noWrap/>
            <w:vAlign w:val="bottom"/>
            <w:hideMark/>
          </w:tcPr>
          <w:p w14:paraId="242E788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44562</w:t>
            </w:r>
          </w:p>
        </w:tc>
        <w:tc>
          <w:tcPr>
            <w:tcW w:w="1200" w:type="dxa"/>
            <w:shd w:val="clear" w:color="auto" w:fill="auto"/>
            <w:noWrap/>
            <w:vAlign w:val="bottom"/>
            <w:hideMark/>
          </w:tcPr>
          <w:p w14:paraId="25D358D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505.7</w:t>
            </w:r>
          </w:p>
        </w:tc>
      </w:tr>
      <w:tr w:rsidR="005B44CA" w:rsidRPr="00C06872" w14:paraId="7B9C0ECB" w14:textId="77777777" w:rsidTr="00A56C18">
        <w:trPr>
          <w:trHeight w:val="300"/>
          <w:jc w:val="center"/>
        </w:trPr>
        <w:tc>
          <w:tcPr>
            <w:tcW w:w="1700" w:type="dxa"/>
            <w:shd w:val="clear" w:color="auto" w:fill="auto"/>
            <w:noWrap/>
            <w:vAlign w:val="center"/>
            <w:hideMark/>
          </w:tcPr>
          <w:p w14:paraId="1530E7B1"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Nuevo León</w:t>
            </w:r>
          </w:p>
        </w:tc>
        <w:tc>
          <w:tcPr>
            <w:tcW w:w="1380" w:type="dxa"/>
            <w:shd w:val="clear" w:color="auto" w:fill="auto"/>
            <w:noWrap/>
            <w:vAlign w:val="bottom"/>
            <w:hideMark/>
          </w:tcPr>
          <w:p w14:paraId="103529C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9689</w:t>
            </w:r>
          </w:p>
        </w:tc>
        <w:tc>
          <w:tcPr>
            <w:tcW w:w="1200" w:type="dxa"/>
            <w:shd w:val="clear" w:color="auto" w:fill="auto"/>
            <w:noWrap/>
            <w:vAlign w:val="bottom"/>
            <w:hideMark/>
          </w:tcPr>
          <w:p w14:paraId="62914F4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185.3</w:t>
            </w:r>
          </w:p>
        </w:tc>
      </w:tr>
      <w:tr w:rsidR="005B44CA" w:rsidRPr="00C06872" w14:paraId="42FD03EB" w14:textId="77777777" w:rsidTr="00A56C18">
        <w:trPr>
          <w:trHeight w:val="300"/>
          <w:jc w:val="center"/>
        </w:trPr>
        <w:tc>
          <w:tcPr>
            <w:tcW w:w="1700" w:type="dxa"/>
            <w:shd w:val="clear" w:color="auto" w:fill="auto"/>
            <w:noWrap/>
            <w:vAlign w:val="center"/>
            <w:hideMark/>
          </w:tcPr>
          <w:p w14:paraId="2CF06913"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Jalisco</w:t>
            </w:r>
          </w:p>
        </w:tc>
        <w:tc>
          <w:tcPr>
            <w:tcW w:w="1380" w:type="dxa"/>
            <w:shd w:val="clear" w:color="auto" w:fill="auto"/>
            <w:noWrap/>
            <w:vAlign w:val="bottom"/>
            <w:hideMark/>
          </w:tcPr>
          <w:p w14:paraId="1DFBC3F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13950</w:t>
            </w:r>
          </w:p>
        </w:tc>
        <w:tc>
          <w:tcPr>
            <w:tcW w:w="1200" w:type="dxa"/>
            <w:shd w:val="clear" w:color="auto" w:fill="auto"/>
            <w:noWrap/>
            <w:vAlign w:val="bottom"/>
            <w:hideMark/>
          </w:tcPr>
          <w:p w14:paraId="5E9987D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172.0</w:t>
            </w:r>
          </w:p>
        </w:tc>
      </w:tr>
      <w:tr w:rsidR="005B44CA" w:rsidRPr="00C06872" w14:paraId="490830E5" w14:textId="77777777" w:rsidTr="00A56C18">
        <w:trPr>
          <w:trHeight w:val="300"/>
          <w:jc w:val="center"/>
        </w:trPr>
        <w:tc>
          <w:tcPr>
            <w:tcW w:w="1700" w:type="dxa"/>
            <w:shd w:val="clear" w:color="auto" w:fill="auto"/>
            <w:noWrap/>
            <w:vAlign w:val="center"/>
            <w:hideMark/>
          </w:tcPr>
          <w:p w14:paraId="7F8C2CC7"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Yucatán</w:t>
            </w:r>
          </w:p>
        </w:tc>
        <w:tc>
          <w:tcPr>
            <w:tcW w:w="1380" w:type="dxa"/>
            <w:shd w:val="clear" w:color="auto" w:fill="auto"/>
            <w:noWrap/>
            <w:vAlign w:val="bottom"/>
            <w:hideMark/>
          </w:tcPr>
          <w:p w14:paraId="3F9EC96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2934</w:t>
            </w:r>
          </w:p>
        </w:tc>
        <w:tc>
          <w:tcPr>
            <w:tcW w:w="1200" w:type="dxa"/>
            <w:shd w:val="clear" w:color="auto" w:fill="auto"/>
            <w:noWrap/>
            <w:vAlign w:val="bottom"/>
            <w:hideMark/>
          </w:tcPr>
          <w:p w14:paraId="49A138A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135.0</w:t>
            </w:r>
          </w:p>
        </w:tc>
      </w:tr>
      <w:tr w:rsidR="005B44CA" w:rsidRPr="00C06872" w14:paraId="7CFA9B0C" w14:textId="77777777" w:rsidTr="00A56C18">
        <w:trPr>
          <w:trHeight w:val="300"/>
          <w:jc w:val="center"/>
        </w:trPr>
        <w:tc>
          <w:tcPr>
            <w:tcW w:w="1700" w:type="dxa"/>
            <w:shd w:val="clear" w:color="auto" w:fill="auto"/>
            <w:noWrap/>
            <w:vAlign w:val="center"/>
            <w:hideMark/>
          </w:tcPr>
          <w:p w14:paraId="5A48982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Querétaro</w:t>
            </w:r>
          </w:p>
        </w:tc>
        <w:tc>
          <w:tcPr>
            <w:tcW w:w="1380" w:type="dxa"/>
            <w:shd w:val="clear" w:color="auto" w:fill="auto"/>
            <w:noWrap/>
            <w:vAlign w:val="bottom"/>
            <w:hideMark/>
          </w:tcPr>
          <w:p w14:paraId="2E03187E"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2449</w:t>
            </w:r>
          </w:p>
        </w:tc>
        <w:tc>
          <w:tcPr>
            <w:tcW w:w="1200" w:type="dxa"/>
            <w:shd w:val="clear" w:color="auto" w:fill="auto"/>
            <w:noWrap/>
            <w:vAlign w:val="bottom"/>
            <w:hideMark/>
          </w:tcPr>
          <w:p w14:paraId="47CF764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118.7</w:t>
            </w:r>
          </w:p>
        </w:tc>
      </w:tr>
      <w:tr w:rsidR="005B44CA" w:rsidRPr="00C06872" w14:paraId="3FAF1BE0" w14:textId="77777777" w:rsidTr="00A56C18">
        <w:trPr>
          <w:trHeight w:val="300"/>
          <w:jc w:val="center"/>
        </w:trPr>
        <w:tc>
          <w:tcPr>
            <w:tcW w:w="1700" w:type="dxa"/>
            <w:shd w:val="clear" w:color="auto" w:fill="auto"/>
            <w:noWrap/>
            <w:vAlign w:val="center"/>
            <w:hideMark/>
          </w:tcPr>
          <w:p w14:paraId="351B203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San Luis Potosí</w:t>
            </w:r>
          </w:p>
        </w:tc>
        <w:tc>
          <w:tcPr>
            <w:tcW w:w="1380" w:type="dxa"/>
            <w:shd w:val="clear" w:color="auto" w:fill="auto"/>
            <w:noWrap/>
            <w:vAlign w:val="bottom"/>
            <w:hideMark/>
          </w:tcPr>
          <w:p w14:paraId="6CAF6D0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3191</w:t>
            </w:r>
          </w:p>
        </w:tc>
        <w:tc>
          <w:tcPr>
            <w:tcW w:w="1200" w:type="dxa"/>
            <w:shd w:val="clear" w:color="auto" w:fill="auto"/>
            <w:noWrap/>
            <w:vAlign w:val="bottom"/>
            <w:hideMark/>
          </w:tcPr>
          <w:p w14:paraId="20F7060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113.9</w:t>
            </w:r>
          </w:p>
        </w:tc>
      </w:tr>
      <w:tr w:rsidR="005B44CA" w:rsidRPr="00C06872" w14:paraId="138B819C" w14:textId="77777777" w:rsidTr="00A56C18">
        <w:trPr>
          <w:trHeight w:val="300"/>
          <w:jc w:val="center"/>
        </w:trPr>
        <w:tc>
          <w:tcPr>
            <w:tcW w:w="1700" w:type="dxa"/>
            <w:shd w:val="clear" w:color="auto" w:fill="auto"/>
            <w:noWrap/>
            <w:vAlign w:val="center"/>
            <w:hideMark/>
          </w:tcPr>
          <w:p w14:paraId="3BCD3857"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Aguascalientes</w:t>
            </w:r>
          </w:p>
        </w:tc>
        <w:tc>
          <w:tcPr>
            <w:tcW w:w="1380" w:type="dxa"/>
            <w:shd w:val="clear" w:color="auto" w:fill="auto"/>
            <w:noWrap/>
            <w:vAlign w:val="bottom"/>
            <w:hideMark/>
          </w:tcPr>
          <w:p w14:paraId="4AF744E3"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1484</w:t>
            </w:r>
          </w:p>
        </w:tc>
        <w:tc>
          <w:tcPr>
            <w:tcW w:w="1200" w:type="dxa"/>
            <w:shd w:val="clear" w:color="auto" w:fill="auto"/>
            <w:noWrap/>
            <w:vAlign w:val="bottom"/>
            <w:hideMark/>
          </w:tcPr>
          <w:p w14:paraId="0B1A85C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112.3</w:t>
            </w:r>
          </w:p>
        </w:tc>
      </w:tr>
      <w:tr w:rsidR="005B44CA" w:rsidRPr="00C06872" w14:paraId="2CB509D7" w14:textId="77777777" w:rsidTr="00A56C18">
        <w:trPr>
          <w:trHeight w:val="300"/>
          <w:jc w:val="center"/>
        </w:trPr>
        <w:tc>
          <w:tcPr>
            <w:tcW w:w="1700" w:type="dxa"/>
            <w:shd w:val="clear" w:color="auto" w:fill="auto"/>
            <w:noWrap/>
            <w:vAlign w:val="center"/>
            <w:hideMark/>
          </w:tcPr>
          <w:p w14:paraId="69F7EE5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w:t>
            </w:r>
          </w:p>
        </w:tc>
        <w:tc>
          <w:tcPr>
            <w:tcW w:w="1380" w:type="dxa"/>
            <w:shd w:val="clear" w:color="auto" w:fill="auto"/>
            <w:noWrap/>
            <w:vAlign w:val="bottom"/>
            <w:hideMark/>
          </w:tcPr>
          <w:p w14:paraId="6780B542"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3692</w:t>
            </w:r>
          </w:p>
        </w:tc>
        <w:tc>
          <w:tcPr>
            <w:tcW w:w="1200" w:type="dxa"/>
            <w:shd w:val="clear" w:color="auto" w:fill="auto"/>
            <w:noWrap/>
            <w:vAlign w:val="bottom"/>
            <w:hideMark/>
          </w:tcPr>
          <w:p w14:paraId="4FB6A3C1"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103.0</w:t>
            </w:r>
          </w:p>
        </w:tc>
      </w:tr>
      <w:tr w:rsidR="005B44CA" w:rsidRPr="00C06872" w14:paraId="5E6DB15E" w14:textId="77777777" w:rsidTr="00A56C18">
        <w:trPr>
          <w:trHeight w:val="300"/>
          <w:jc w:val="center"/>
        </w:trPr>
        <w:tc>
          <w:tcPr>
            <w:tcW w:w="1700" w:type="dxa"/>
            <w:shd w:val="clear" w:color="auto" w:fill="auto"/>
            <w:noWrap/>
            <w:vAlign w:val="center"/>
            <w:hideMark/>
          </w:tcPr>
          <w:p w14:paraId="38475812"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Sonora</w:t>
            </w:r>
          </w:p>
        </w:tc>
        <w:tc>
          <w:tcPr>
            <w:tcW w:w="1380" w:type="dxa"/>
            <w:shd w:val="clear" w:color="auto" w:fill="auto"/>
            <w:noWrap/>
            <w:vAlign w:val="bottom"/>
            <w:hideMark/>
          </w:tcPr>
          <w:p w14:paraId="240A71A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2882</w:t>
            </w:r>
          </w:p>
        </w:tc>
        <w:tc>
          <w:tcPr>
            <w:tcW w:w="1200" w:type="dxa"/>
            <w:shd w:val="clear" w:color="auto" w:fill="auto"/>
            <w:noWrap/>
            <w:vAlign w:val="bottom"/>
            <w:hideMark/>
          </w:tcPr>
          <w:p w14:paraId="3FB6AF3E"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95.7</w:t>
            </w:r>
          </w:p>
        </w:tc>
      </w:tr>
      <w:tr w:rsidR="005B44CA" w:rsidRPr="00C06872" w14:paraId="1C8A1F1B" w14:textId="77777777" w:rsidTr="00A56C18">
        <w:trPr>
          <w:trHeight w:val="300"/>
          <w:jc w:val="center"/>
        </w:trPr>
        <w:tc>
          <w:tcPr>
            <w:tcW w:w="1700" w:type="dxa"/>
            <w:shd w:val="clear" w:color="auto" w:fill="auto"/>
            <w:noWrap/>
            <w:vAlign w:val="center"/>
            <w:hideMark/>
          </w:tcPr>
          <w:p w14:paraId="313A46CE"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Durango</w:t>
            </w:r>
          </w:p>
        </w:tc>
        <w:tc>
          <w:tcPr>
            <w:tcW w:w="1380" w:type="dxa"/>
            <w:shd w:val="clear" w:color="auto" w:fill="auto"/>
            <w:noWrap/>
            <w:vAlign w:val="bottom"/>
            <w:hideMark/>
          </w:tcPr>
          <w:p w14:paraId="23BB16A4"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1718</w:t>
            </w:r>
          </w:p>
        </w:tc>
        <w:tc>
          <w:tcPr>
            <w:tcW w:w="1200" w:type="dxa"/>
            <w:shd w:val="clear" w:color="auto" w:fill="auto"/>
            <w:noWrap/>
            <w:vAlign w:val="bottom"/>
            <w:hideMark/>
          </w:tcPr>
          <w:p w14:paraId="5B606832"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95.5</w:t>
            </w:r>
          </w:p>
        </w:tc>
      </w:tr>
      <w:tr w:rsidR="005B44CA" w:rsidRPr="00C06872" w14:paraId="49119E08" w14:textId="77777777" w:rsidTr="00A56C18">
        <w:trPr>
          <w:trHeight w:val="300"/>
          <w:jc w:val="center"/>
        </w:trPr>
        <w:tc>
          <w:tcPr>
            <w:tcW w:w="1700" w:type="dxa"/>
            <w:shd w:val="clear" w:color="auto" w:fill="auto"/>
            <w:noWrap/>
            <w:vAlign w:val="center"/>
            <w:hideMark/>
          </w:tcPr>
          <w:p w14:paraId="79D8199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Morelos</w:t>
            </w:r>
          </w:p>
        </w:tc>
        <w:tc>
          <w:tcPr>
            <w:tcW w:w="1380" w:type="dxa"/>
            <w:shd w:val="clear" w:color="auto" w:fill="auto"/>
            <w:noWrap/>
            <w:vAlign w:val="bottom"/>
            <w:hideMark/>
          </w:tcPr>
          <w:p w14:paraId="725A73F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1865</w:t>
            </w:r>
          </w:p>
        </w:tc>
        <w:tc>
          <w:tcPr>
            <w:tcW w:w="1200" w:type="dxa"/>
            <w:shd w:val="clear" w:color="auto" w:fill="auto"/>
            <w:noWrap/>
            <w:vAlign w:val="bottom"/>
            <w:hideMark/>
          </w:tcPr>
          <w:p w14:paraId="131FE144"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94.9</w:t>
            </w:r>
          </w:p>
        </w:tc>
      </w:tr>
      <w:tr w:rsidR="005B44CA" w:rsidRPr="00C06872" w14:paraId="55EF11C1" w14:textId="77777777" w:rsidTr="00A56C18">
        <w:trPr>
          <w:trHeight w:val="300"/>
          <w:jc w:val="center"/>
        </w:trPr>
        <w:tc>
          <w:tcPr>
            <w:tcW w:w="1700" w:type="dxa"/>
            <w:shd w:val="clear" w:color="auto" w:fill="auto"/>
            <w:noWrap/>
            <w:vAlign w:val="center"/>
            <w:hideMark/>
          </w:tcPr>
          <w:p w14:paraId="43E878D1"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Coahuila</w:t>
            </w:r>
          </w:p>
        </w:tc>
        <w:tc>
          <w:tcPr>
            <w:tcW w:w="1380" w:type="dxa"/>
            <w:shd w:val="clear" w:color="auto" w:fill="auto"/>
            <w:noWrap/>
            <w:vAlign w:val="bottom"/>
            <w:hideMark/>
          </w:tcPr>
          <w:p w14:paraId="486FB09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2854</w:t>
            </w:r>
          </w:p>
        </w:tc>
        <w:tc>
          <w:tcPr>
            <w:tcW w:w="1200" w:type="dxa"/>
            <w:shd w:val="clear" w:color="auto" w:fill="auto"/>
            <w:noWrap/>
            <w:vAlign w:val="bottom"/>
            <w:hideMark/>
          </w:tcPr>
          <w:p w14:paraId="7FD628F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94.2</w:t>
            </w:r>
          </w:p>
        </w:tc>
      </w:tr>
      <w:tr w:rsidR="005B44CA" w:rsidRPr="00C06872" w14:paraId="612C8F0C" w14:textId="77777777" w:rsidTr="00A56C18">
        <w:trPr>
          <w:trHeight w:val="300"/>
          <w:jc w:val="center"/>
        </w:trPr>
        <w:tc>
          <w:tcPr>
            <w:tcW w:w="1700" w:type="dxa"/>
            <w:shd w:val="clear" w:color="auto" w:fill="auto"/>
            <w:noWrap/>
            <w:vAlign w:val="center"/>
            <w:hideMark/>
          </w:tcPr>
          <w:p w14:paraId="4F88FA98"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Sinaloa</w:t>
            </w:r>
          </w:p>
        </w:tc>
        <w:tc>
          <w:tcPr>
            <w:tcW w:w="1380" w:type="dxa"/>
            <w:shd w:val="clear" w:color="auto" w:fill="auto"/>
            <w:noWrap/>
            <w:vAlign w:val="bottom"/>
            <w:hideMark/>
          </w:tcPr>
          <w:p w14:paraId="55027F1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2802</w:t>
            </w:r>
          </w:p>
        </w:tc>
        <w:tc>
          <w:tcPr>
            <w:tcW w:w="1200" w:type="dxa"/>
            <w:shd w:val="clear" w:color="auto" w:fill="auto"/>
            <w:noWrap/>
            <w:vAlign w:val="bottom"/>
            <w:hideMark/>
          </w:tcPr>
          <w:p w14:paraId="5BD3A34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92.3</w:t>
            </w:r>
          </w:p>
        </w:tc>
      </w:tr>
      <w:tr w:rsidR="005B44CA" w:rsidRPr="00C06872" w14:paraId="19644D95" w14:textId="77777777" w:rsidTr="00A56C18">
        <w:trPr>
          <w:trHeight w:val="300"/>
          <w:jc w:val="center"/>
        </w:trPr>
        <w:tc>
          <w:tcPr>
            <w:tcW w:w="1700" w:type="dxa"/>
            <w:shd w:val="clear" w:color="auto" w:fill="auto"/>
            <w:noWrap/>
            <w:vAlign w:val="center"/>
            <w:hideMark/>
          </w:tcPr>
          <w:p w14:paraId="0578A38B"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Colima</w:t>
            </w:r>
          </w:p>
        </w:tc>
        <w:tc>
          <w:tcPr>
            <w:tcW w:w="1380" w:type="dxa"/>
            <w:shd w:val="clear" w:color="auto" w:fill="auto"/>
            <w:noWrap/>
            <w:vAlign w:val="bottom"/>
            <w:hideMark/>
          </w:tcPr>
          <w:p w14:paraId="0026B95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684</w:t>
            </w:r>
          </w:p>
        </w:tc>
        <w:tc>
          <w:tcPr>
            <w:tcW w:w="1200" w:type="dxa"/>
            <w:shd w:val="clear" w:color="auto" w:fill="auto"/>
            <w:noWrap/>
            <w:vAlign w:val="bottom"/>
            <w:hideMark/>
          </w:tcPr>
          <w:p w14:paraId="68A191D3"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91.5</w:t>
            </w:r>
          </w:p>
        </w:tc>
      </w:tr>
      <w:tr w:rsidR="005B44CA" w:rsidRPr="00C06872" w14:paraId="384AD9E9" w14:textId="77777777" w:rsidTr="00A56C18">
        <w:trPr>
          <w:trHeight w:val="300"/>
          <w:jc w:val="center"/>
        </w:trPr>
        <w:tc>
          <w:tcPr>
            <w:tcW w:w="1700" w:type="dxa"/>
            <w:shd w:val="clear" w:color="auto" w:fill="auto"/>
            <w:noWrap/>
            <w:vAlign w:val="center"/>
            <w:hideMark/>
          </w:tcPr>
          <w:p w14:paraId="38010DA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Campeche</w:t>
            </w:r>
          </w:p>
        </w:tc>
        <w:tc>
          <w:tcPr>
            <w:tcW w:w="1380" w:type="dxa"/>
            <w:shd w:val="clear" w:color="auto" w:fill="auto"/>
            <w:noWrap/>
            <w:vAlign w:val="bottom"/>
            <w:hideMark/>
          </w:tcPr>
          <w:p w14:paraId="1B75357B"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854</w:t>
            </w:r>
          </w:p>
        </w:tc>
        <w:tc>
          <w:tcPr>
            <w:tcW w:w="1200" w:type="dxa"/>
            <w:shd w:val="clear" w:color="auto" w:fill="auto"/>
            <w:noWrap/>
            <w:vAlign w:val="bottom"/>
            <w:hideMark/>
          </w:tcPr>
          <w:p w14:paraId="7A916E8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91.3</w:t>
            </w:r>
          </w:p>
        </w:tc>
      </w:tr>
      <w:tr w:rsidR="005B44CA" w:rsidRPr="00C06872" w14:paraId="6CF53838" w14:textId="77777777" w:rsidTr="00A56C18">
        <w:trPr>
          <w:trHeight w:val="300"/>
          <w:jc w:val="center"/>
        </w:trPr>
        <w:tc>
          <w:tcPr>
            <w:tcW w:w="1700" w:type="dxa"/>
            <w:shd w:val="clear" w:color="auto" w:fill="auto"/>
            <w:noWrap/>
            <w:vAlign w:val="center"/>
            <w:hideMark/>
          </w:tcPr>
          <w:p w14:paraId="2A968C99"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 Sur</w:t>
            </w:r>
          </w:p>
        </w:tc>
        <w:tc>
          <w:tcPr>
            <w:tcW w:w="1380" w:type="dxa"/>
            <w:shd w:val="clear" w:color="auto" w:fill="auto"/>
            <w:noWrap/>
            <w:vAlign w:val="bottom"/>
            <w:hideMark/>
          </w:tcPr>
          <w:p w14:paraId="6C9C91F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736</w:t>
            </w:r>
          </w:p>
        </w:tc>
        <w:tc>
          <w:tcPr>
            <w:tcW w:w="1200" w:type="dxa"/>
            <w:shd w:val="clear" w:color="auto" w:fill="auto"/>
            <w:noWrap/>
            <w:vAlign w:val="bottom"/>
            <w:hideMark/>
          </w:tcPr>
          <w:p w14:paraId="4D98760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90.9</w:t>
            </w:r>
          </w:p>
        </w:tc>
      </w:tr>
      <w:tr w:rsidR="005B44CA" w:rsidRPr="00C06872" w14:paraId="03C0B154" w14:textId="77777777" w:rsidTr="00A56C18">
        <w:trPr>
          <w:trHeight w:val="300"/>
          <w:jc w:val="center"/>
        </w:trPr>
        <w:tc>
          <w:tcPr>
            <w:tcW w:w="1700" w:type="dxa"/>
            <w:shd w:val="clear" w:color="auto" w:fill="auto"/>
            <w:noWrap/>
            <w:vAlign w:val="center"/>
            <w:hideMark/>
          </w:tcPr>
          <w:p w14:paraId="167AAD57"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Nayarit</w:t>
            </w:r>
          </w:p>
        </w:tc>
        <w:tc>
          <w:tcPr>
            <w:tcW w:w="1380" w:type="dxa"/>
            <w:shd w:val="clear" w:color="auto" w:fill="auto"/>
            <w:noWrap/>
            <w:vAlign w:val="bottom"/>
            <w:hideMark/>
          </w:tcPr>
          <w:p w14:paraId="7B5892C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1152</w:t>
            </w:r>
          </w:p>
        </w:tc>
        <w:tc>
          <w:tcPr>
            <w:tcW w:w="1200" w:type="dxa"/>
            <w:shd w:val="clear" w:color="auto" w:fill="auto"/>
            <w:noWrap/>
            <w:vAlign w:val="bottom"/>
            <w:hideMark/>
          </w:tcPr>
          <w:p w14:paraId="1003FAF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90.8</w:t>
            </w:r>
          </w:p>
        </w:tc>
      </w:tr>
      <w:tr w:rsidR="005B44CA" w:rsidRPr="00C06872" w14:paraId="4C04683D" w14:textId="77777777" w:rsidTr="00A56C18">
        <w:trPr>
          <w:trHeight w:val="300"/>
          <w:jc w:val="center"/>
        </w:trPr>
        <w:tc>
          <w:tcPr>
            <w:tcW w:w="1700" w:type="dxa"/>
            <w:shd w:val="clear" w:color="auto" w:fill="auto"/>
            <w:noWrap/>
            <w:vAlign w:val="center"/>
            <w:hideMark/>
          </w:tcPr>
          <w:p w14:paraId="125F88D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Tamaulipas</w:t>
            </w:r>
          </w:p>
        </w:tc>
        <w:tc>
          <w:tcPr>
            <w:tcW w:w="1380" w:type="dxa"/>
            <w:shd w:val="clear" w:color="auto" w:fill="auto"/>
            <w:noWrap/>
            <w:vAlign w:val="bottom"/>
            <w:hideMark/>
          </w:tcPr>
          <w:p w14:paraId="76111863"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3213</w:t>
            </w:r>
          </w:p>
        </w:tc>
        <w:tc>
          <w:tcPr>
            <w:tcW w:w="1200" w:type="dxa"/>
            <w:shd w:val="clear" w:color="auto" w:fill="auto"/>
            <w:noWrap/>
            <w:vAlign w:val="bottom"/>
            <w:hideMark/>
          </w:tcPr>
          <w:p w14:paraId="08E172F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88.7</w:t>
            </w:r>
          </w:p>
        </w:tc>
      </w:tr>
      <w:tr w:rsidR="005B44CA" w:rsidRPr="00C06872" w14:paraId="1DCD47C7" w14:textId="77777777" w:rsidTr="00A56C18">
        <w:trPr>
          <w:trHeight w:val="300"/>
          <w:jc w:val="center"/>
        </w:trPr>
        <w:tc>
          <w:tcPr>
            <w:tcW w:w="1700" w:type="dxa"/>
            <w:shd w:val="clear" w:color="auto" w:fill="auto"/>
            <w:noWrap/>
            <w:vAlign w:val="center"/>
            <w:hideMark/>
          </w:tcPr>
          <w:p w14:paraId="601FC553"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Chihuahua</w:t>
            </w:r>
          </w:p>
        </w:tc>
        <w:tc>
          <w:tcPr>
            <w:tcW w:w="1380" w:type="dxa"/>
            <w:shd w:val="clear" w:color="auto" w:fill="auto"/>
            <w:noWrap/>
            <w:vAlign w:val="bottom"/>
            <w:hideMark/>
          </w:tcPr>
          <w:p w14:paraId="3DE1E0D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3298</w:t>
            </w:r>
          </w:p>
        </w:tc>
        <w:tc>
          <w:tcPr>
            <w:tcW w:w="1200" w:type="dxa"/>
            <w:shd w:val="clear" w:color="auto" w:fill="auto"/>
            <w:noWrap/>
            <w:vAlign w:val="bottom"/>
            <w:hideMark/>
          </w:tcPr>
          <w:p w14:paraId="1D7B49D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87.2</w:t>
            </w:r>
          </w:p>
        </w:tc>
      </w:tr>
      <w:tr w:rsidR="005B44CA" w:rsidRPr="00C06872" w14:paraId="67185719" w14:textId="77777777" w:rsidTr="00A56C18">
        <w:trPr>
          <w:trHeight w:val="300"/>
          <w:jc w:val="center"/>
        </w:trPr>
        <w:tc>
          <w:tcPr>
            <w:tcW w:w="1700" w:type="dxa"/>
            <w:shd w:val="clear" w:color="auto" w:fill="auto"/>
            <w:noWrap/>
            <w:vAlign w:val="center"/>
            <w:hideMark/>
          </w:tcPr>
          <w:p w14:paraId="67476260"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Puebla</w:t>
            </w:r>
          </w:p>
        </w:tc>
        <w:tc>
          <w:tcPr>
            <w:tcW w:w="1380" w:type="dxa"/>
            <w:shd w:val="clear" w:color="auto" w:fill="auto"/>
            <w:noWrap/>
            <w:vAlign w:val="bottom"/>
            <w:hideMark/>
          </w:tcPr>
          <w:p w14:paraId="3895E8D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5443</w:t>
            </w:r>
          </w:p>
        </w:tc>
        <w:tc>
          <w:tcPr>
            <w:tcW w:w="1200" w:type="dxa"/>
            <w:shd w:val="clear" w:color="auto" w:fill="auto"/>
            <w:noWrap/>
            <w:vAlign w:val="bottom"/>
            <w:hideMark/>
          </w:tcPr>
          <w:p w14:paraId="6A129CD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86.2</w:t>
            </w:r>
          </w:p>
        </w:tc>
      </w:tr>
      <w:tr w:rsidR="005B44CA" w:rsidRPr="00C06872" w14:paraId="2B9A557F" w14:textId="77777777" w:rsidTr="00A56C18">
        <w:trPr>
          <w:trHeight w:val="300"/>
          <w:jc w:val="center"/>
        </w:trPr>
        <w:tc>
          <w:tcPr>
            <w:tcW w:w="1700" w:type="dxa"/>
            <w:shd w:val="clear" w:color="auto" w:fill="auto"/>
            <w:noWrap/>
            <w:vAlign w:val="center"/>
            <w:hideMark/>
          </w:tcPr>
          <w:p w14:paraId="2BD2363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Guanajuato</w:t>
            </w:r>
          </w:p>
        </w:tc>
        <w:tc>
          <w:tcPr>
            <w:tcW w:w="1380" w:type="dxa"/>
            <w:shd w:val="clear" w:color="auto" w:fill="auto"/>
            <w:noWrap/>
            <w:vAlign w:val="bottom"/>
            <w:hideMark/>
          </w:tcPr>
          <w:p w14:paraId="3A77D26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4924</w:t>
            </w:r>
          </w:p>
        </w:tc>
        <w:tc>
          <w:tcPr>
            <w:tcW w:w="1200" w:type="dxa"/>
            <w:shd w:val="clear" w:color="auto" w:fill="auto"/>
            <w:noWrap/>
            <w:vAlign w:val="bottom"/>
            <w:hideMark/>
          </w:tcPr>
          <w:p w14:paraId="21CF5FC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83.3</w:t>
            </w:r>
          </w:p>
        </w:tc>
      </w:tr>
      <w:tr w:rsidR="005B44CA" w:rsidRPr="00C06872" w14:paraId="291A3462" w14:textId="77777777" w:rsidTr="00A56C18">
        <w:trPr>
          <w:trHeight w:val="300"/>
          <w:jc w:val="center"/>
        </w:trPr>
        <w:tc>
          <w:tcPr>
            <w:tcW w:w="1700" w:type="dxa"/>
            <w:shd w:val="clear" w:color="auto" w:fill="auto"/>
            <w:noWrap/>
            <w:vAlign w:val="center"/>
            <w:hideMark/>
          </w:tcPr>
          <w:p w14:paraId="5ACEBACF"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Tabasco</w:t>
            </w:r>
          </w:p>
        </w:tc>
        <w:tc>
          <w:tcPr>
            <w:tcW w:w="1380" w:type="dxa"/>
            <w:shd w:val="clear" w:color="auto" w:fill="auto"/>
            <w:noWrap/>
            <w:vAlign w:val="bottom"/>
            <w:hideMark/>
          </w:tcPr>
          <w:p w14:paraId="47E1709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1941</w:t>
            </w:r>
          </w:p>
        </w:tc>
        <w:tc>
          <w:tcPr>
            <w:tcW w:w="1200" w:type="dxa"/>
            <w:shd w:val="clear" w:color="auto" w:fill="auto"/>
            <w:noWrap/>
            <w:vAlign w:val="bottom"/>
            <w:hideMark/>
          </w:tcPr>
          <w:p w14:paraId="2EA91F1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79.8</w:t>
            </w:r>
          </w:p>
        </w:tc>
      </w:tr>
      <w:tr w:rsidR="005B44CA" w:rsidRPr="00C06872" w14:paraId="2C67913E" w14:textId="77777777" w:rsidTr="00A56C18">
        <w:trPr>
          <w:trHeight w:val="300"/>
          <w:jc w:val="center"/>
        </w:trPr>
        <w:tc>
          <w:tcPr>
            <w:tcW w:w="1700" w:type="dxa"/>
            <w:shd w:val="clear" w:color="auto" w:fill="auto"/>
            <w:noWrap/>
            <w:vAlign w:val="center"/>
            <w:hideMark/>
          </w:tcPr>
          <w:p w14:paraId="6D585F94"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Quintana Roo</w:t>
            </w:r>
          </w:p>
        </w:tc>
        <w:tc>
          <w:tcPr>
            <w:tcW w:w="1380" w:type="dxa"/>
            <w:shd w:val="clear" w:color="auto" w:fill="auto"/>
            <w:noWrap/>
            <w:vAlign w:val="bottom"/>
            <w:hideMark/>
          </w:tcPr>
          <w:p w14:paraId="725791A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1234</w:t>
            </w:r>
          </w:p>
        </w:tc>
        <w:tc>
          <w:tcPr>
            <w:tcW w:w="1200" w:type="dxa"/>
            <w:shd w:val="clear" w:color="auto" w:fill="auto"/>
            <w:noWrap/>
            <w:vAlign w:val="bottom"/>
            <w:hideMark/>
          </w:tcPr>
          <w:p w14:paraId="247B61E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74.1</w:t>
            </w:r>
          </w:p>
        </w:tc>
      </w:tr>
      <w:tr w:rsidR="005B44CA" w:rsidRPr="00C06872" w14:paraId="7E2A2A2C" w14:textId="77777777" w:rsidTr="00A56C18">
        <w:trPr>
          <w:trHeight w:val="300"/>
          <w:jc w:val="center"/>
        </w:trPr>
        <w:tc>
          <w:tcPr>
            <w:tcW w:w="1700" w:type="dxa"/>
            <w:shd w:val="clear" w:color="auto" w:fill="auto"/>
            <w:noWrap/>
            <w:vAlign w:val="center"/>
            <w:hideMark/>
          </w:tcPr>
          <w:p w14:paraId="1C3BC574"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Hidalgo</w:t>
            </w:r>
          </w:p>
        </w:tc>
        <w:tc>
          <w:tcPr>
            <w:tcW w:w="1380" w:type="dxa"/>
            <w:shd w:val="clear" w:color="auto" w:fill="auto"/>
            <w:noWrap/>
            <w:vAlign w:val="bottom"/>
            <w:hideMark/>
          </w:tcPr>
          <w:p w14:paraId="3C12A305"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2178</w:t>
            </w:r>
          </w:p>
        </w:tc>
        <w:tc>
          <w:tcPr>
            <w:tcW w:w="1200" w:type="dxa"/>
            <w:shd w:val="clear" w:color="auto" w:fill="auto"/>
            <w:noWrap/>
            <w:vAlign w:val="bottom"/>
            <w:hideMark/>
          </w:tcPr>
          <w:p w14:paraId="3204D347"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73.9</w:t>
            </w:r>
          </w:p>
        </w:tc>
      </w:tr>
      <w:tr w:rsidR="005B44CA" w:rsidRPr="00C06872" w14:paraId="1537A644" w14:textId="77777777" w:rsidTr="00A56C18">
        <w:trPr>
          <w:trHeight w:val="300"/>
          <w:jc w:val="center"/>
        </w:trPr>
        <w:tc>
          <w:tcPr>
            <w:tcW w:w="1700" w:type="dxa"/>
            <w:shd w:val="clear" w:color="auto" w:fill="auto"/>
            <w:noWrap/>
            <w:vAlign w:val="center"/>
            <w:hideMark/>
          </w:tcPr>
          <w:p w14:paraId="32A0E2F4"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Michoacán</w:t>
            </w:r>
          </w:p>
        </w:tc>
        <w:tc>
          <w:tcPr>
            <w:tcW w:w="1380" w:type="dxa"/>
            <w:shd w:val="clear" w:color="auto" w:fill="auto"/>
            <w:noWrap/>
            <w:vAlign w:val="bottom"/>
            <w:hideMark/>
          </w:tcPr>
          <w:p w14:paraId="612F85F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3269</w:t>
            </w:r>
          </w:p>
        </w:tc>
        <w:tc>
          <w:tcPr>
            <w:tcW w:w="1200" w:type="dxa"/>
            <w:shd w:val="clear" w:color="auto" w:fill="auto"/>
            <w:noWrap/>
            <w:vAlign w:val="bottom"/>
            <w:hideMark/>
          </w:tcPr>
          <w:p w14:paraId="7733B1C4"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70.2</w:t>
            </w:r>
          </w:p>
        </w:tc>
      </w:tr>
      <w:tr w:rsidR="005B44CA" w:rsidRPr="00C06872" w14:paraId="3DED3BA0" w14:textId="77777777" w:rsidTr="00A56C18">
        <w:trPr>
          <w:trHeight w:val="300"/>
          <w:jc w:val="center"/>
        </w:trPr>
        <w:tc>
          <w:tcPr>
            <w:tcW w:w="1700" w:type="dxa"/>
            <w:shd w:val="clear" w:color="auto" w:fill="auto"/>
            <w:noWrap/>
            <w:vAlign w:val="center"/>
            <w:hideMark/>
          </w:tcPr>
          <w:p w14:paraId="12F22E23"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México</w:t>
            </w:r>
          </w:p>
        </w:tc>
        <w:tc>
          <w:tcPr>
            <w:tcW w:w="1380" w:type="dxa"/>
            <w:shd w:val="clear" w:color="auto" w:fill="auto"/>
            <w:noWrap/>
            <w:vAlign w:val="bottom"/>
            <w:hideMark/>
          </w:tcPr>
          <w:p w14:paraId="6FE0A75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11997</w:t>
            </w:r>
          </w:p>
        </w:tc>
        <w:tc>
          <w:tcPr>
            <w:tcW w:w="1200" w:type="dxa"/>
            <w:shd w:val="clear" w:color="auto" w:fill="auto"/>
            <w:noWrap/>
            <w:vAlign w:val="bottom"/>
            <w:hideMark/>
          </w:tcPr>
          <w:p w14:paraId="188192E6"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69.1</w:t>
            </w:r>
          </w:p>
        </w:tc>
      </w:tr>
      <w:tr w:rsidR="005B44CA" w:rsidRPr="00C06872" w14:paraId="4B9CDAB3" w14:textId="77777777" w:rsidTr="00A56C18">
        <w:trPr>
          <w:trHeight w:val="300"/>
          <w:jc w:val="center"/>
        </w:trPr>
        <w:tc>
          <w:tcPr>
            <w:tcW w:w="1700" w:type="dxa"/>
            <w:shd w:val="clear" w:color="auto" w:fill="auto"/>
            <w:noWrap/>
            <w:vAlign w:val="center"/>
            <w:hideMark/>
          </w:tcPr>
          <w:p w14:paraId="51153A32"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Veracruz</w:t>
            </w:r>
          </w:p>
        </w:tc>
        <w:tc>
          <w:tcPr>
            <w:tcW w:w="1380" w:type="dxa"/>
            <w:shd w:val="clear" w:color="auto" w:fill="auto"/>
            <w:noWrap/>
            <w:vAlign w:val="bottom"/>
            <w:hideMark/>
          </w:tcPr>
          <w:p w14:paraId="36667E8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5295</w:t>
            </w:r>
          </w:p>
        </w:tc>
        <w:tc>
          <w:tcPr>
            <w:tcW w:w="1200" w:type="dxa"/>
            <w:shd w:val="clear" w:color="auto" w:fill="auto"/>
            <w:noWrap/>
            <w:vAlign w:val="bottom"/>
            <w:hideMark/>
          </w:tcPr>
          <w:p w14:paraId="1511169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64.9</w:t>
            </w:r>
          </w:p>
        </w:tc>
      </w:tr>
      <w:tr w:rsidR="005B44CA" w:rsidRPr="00C06872" w14:paraId="4CAEDCAA" w14:textId="77777777" w:rsidTr="00A56C18">
        <w:trPr>
          <w:trHeight w:val="300"/>
          <w:jc w:val="center"/>
        </w:trPr>
        <w:tc>
          <w:tcPr>
            <w:tcW w:w="1700" w:type="dxa"/>
            <w:shd w:val="clear" w:color="auto" w:fill="auto"/>
            <w:noWrap/>
            <w:vAlign w:val="center"/>
            <w:hideMark/>
          </w:tcPr>
          <w:p w14:paraId="5B7EED2D"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lastRenderedPageBreak/>
              <w:t>Oaxaca</w:t>
            </w:r>
          </w:p>
        </w:tc>
        <w:tc>
          <w:tcPr>
            <w:tcW w:w="1380" w:type="dxa"/>
            <w:shd w:val="clear" w:color="auto" w:fill="auto"/>
            <w:noWrap/>
            <w:vAlign w:val="bottom"/>
            <w:hideMark/>
          </w:tcPr>
          <w:p w14:paraId="2F5DC39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2602</w:t>
            </w:r>
          </w:p>
        </w:tc>
        <w:tc>
          <w:tcPr>
            <w:tcW w:w="1200" w:type="dxa"/>
            <w:shd w:val="clear" w:color="auto" w:fill="auto"/>
            <w:noWrap/>
            <w:vAlign w:val="bottom"/>
            <w:hideMark/>
          </w:tcPr>
          <w:p w14:paraId="3B26704C"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64.1</w:t>
            </w:r>
          </w:p>
        </w:tc>
      </w:tr>
      <w:tr w:rsidR="005B44CA" w:rsidRPr="00C06872" w14:paraId="7FD3DBCC" w14:textId="77777777" w:rsidTr="00A56C18">
        <w:trPr>
          <w:trHeight w:val="300"/>
          <w:jc w:val="center"/>
        </w:trPr>
        <w:tc>
          <w:tcPr>
            <w:tcW w:w="1700" w:type="dxa"/>
            <w:shd w:val="clear" w:color="auto" w:fill="auto"/>
            <w:noWrap/>
            <w:vAlign w:val="center"/>
            <w:hideMark/>
          </w:tcPr>
          <w:p w14:paraId="6B54436A"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Zacatecas</w:t>
            </w:r>
          </w:p>
        </w:tc>
        <w:tc>
          <w:tcPr>
            <w:tcW w:w="1380" w:type="dxa"/>
            <w:shd w:val="clear" w:color="auto" w:fill="auto"/>
            <w:noWrap/>
            <w:vAlign w:val="bottom"/>
            <w:hideMark/>
          </w:tcPr>
          <w:p w14:paraId="1AAB3BA9"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991</w:t>
            </w:r>
          </w:p>
        </w:tc>
        <w:tc>
          <w:tcPr>
            <w:tcW w:w="1200" w:type="dxa"/>
            <w:shd w:val="clear" w:color="auto" w:fill="auto"/>
            <w:noWrap/>
            <w:vAlign w:val="bottom"/>
            <w:hideMark/>
          </w:tcPr>
          <w:p w14:paraId="361C8981"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61.9</w:t>
            </w:r>
          </w:p>
        </w:tc>
      </w:tr>
      <w:tr w:rsidR="005B44CA" w:rsidRPr="00C06872" w14:paraId="1FC89BB4" w14:textId="77777777" w:rsidTr="00A56C18">
        <w:trPr>
          <w:trHeight w:val="300"/>
          <w:jc w:val="center"/>
        </w:trPr>
        <w:tc>
          <w:tcPr>
            <w:tcW w:w="1700" w:type="dxa"/>
            <w:shd w:val="clear" w:color="auto" w:fill="auto"/>
            <w:noWrap/>
            <w:vAlign w:val="center"/>
            <w:hideMark/>
          </w:tcPr>
          <w:p w14:paraId="7DA41B50"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Tlaxcala</w:t>
            </w:r>
          </w:p>
        </w:tc>
        <w:tc>
          <w:tcPr>
            <w:tcW w:w="1380" w:type="dxa"/>
            <w:shd w:val="clear" w:color="auto" w:fill="auto"/>
            <w:noWrap/>
            <w:vAlign w:val="bottom"/>
            <w:hideMark/>
          </w:tcPr>
          <w:p w14:paraId="1BB8D628"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679</w:t>
            </w:r>
          </w:p>
        </w:tc>
        <w:tc>
          <w:tcPr>
            <w:tcW w:w="1200" w:type="dxa"/>
            <w:shd w:val="clear" w:color="auto" w:fill="auto"/>
            <w:noWrap/>
            <w:vAlign w:val="bottom"/>
            <w:hideMark/>
          </w:tcPr>
          <w:p w14:paraId="1CFC8D62"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51.7</w:t>
            </w:r>
          </w:p>
        </w:tc>
      </w:tr>
      <w:tr w:rsidR="005B44CA" w:rsidRPr="00C06872" w14:paraId="1543922F" w14:textId="77777777" w:rsidTr="00A56C18">
        <w:trPr>
          <w:trHeight w:val="300"/>
          <w:jc w:val="center"/>
        </w:trPr>
        <w:tc>
          <w:tcPr>
            <w:tcW w:w="1700" w:type="dxa"/>
            <w:shd w:val="clear" w:color="auto" w:fill="auto"/>
            <w:noWrap/>
            <w:vAlign w:val="center"/>
            <w:hideMark/>
          </w:tcPr>
          <w:p w14:paraId="6E0A1D95"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Guerrero</w:t>
            </w:r>
          </w:p>
        </w:tc>
        <w:tc>
          <w:tcPr>
            <w:tcW w:w="1380" w:type="dxa"/>
            <w:shd w:val="clear" w:color="auto" w:fill="auto"/>
            <w:noWrap/>
            <w:vAlign w:val="bottom"/>
            <w:hideMark/>
          </w:tcPr>
          <w:p w14:paraId="151DCB20"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1414</w:t>
            </w:r>
          </w:p>
        </w:tc>
        <w:tc>
          <w:tcPr>
            <w:tcW w:w="1200" w:type="dxa"/>
            <w:shd w:val="clear" w:color="auto" w:fill="auto"/>
            <w:noWrap/>
            <w:vAlign w:val="bottom"/>
            <w:hideMark/>
          </w:tcPr>
          <w:p w14:paraId="330656FA"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39.2</w:t>
            </w:r>
          </w:p>
        </w:tc>
      </w:tr>
      <w:tr w:rsidR="005B44CA" w:rsidRPr="00C06872" w14:paraId="64095003" w14:textId="77777777" w:rsidTr="00A56C18">
        <w:trPr>
          <w:trHeight w:val="300"/>
          <w:jc w:val="center"/>
        </w:trPr>
        <w:tc>
          <w:tcPr>
            <w:tcW w:w="1700" w:type="dxa"/>
            <w:shd w:val="clear" w:color="auto" w:fill="auto"/>
            <w:noWrap/>
            <w:vAlign w:val="center"/>
            <w:hideMark/>
          </w:tcPr>
          <w:p w14:paraId="5C4BD4FD" w14:textId="77777777" w:rsidR="005B44CA" w:rsidRPr="00C06872" w:rsidRDefault="005B44CA" w:rsidP="005B44CA">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Chiapas</w:t>
            </w:r>
          </w:p>
        </w:tc>
        <w:tc>
          <w:tcPr>
            <w:tcW w:w="1380" w:type="dxa"/>
            <w:shd w:val="clear" w:color="auto" w:fill="auto"/>
            <w:noWrap/>
            <w:vAlign w:val="bottom"/>
            <w:hideMark/>
          </w:tcPr>
          <w:p w14:paraId="6436C56D"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1934</w:t>
            </w:r>
          </w:p>
        </w:tc>
        <w:tc>
          <w:tcPr>
            <w:tcW w:w="1200" w:type="dxa"/>
            <w:shd w:val="clear" w:color="auto" w:fill="auto"/>
            <w:noWrap/>
            <w:vAlign w:val="bottom"/>
            <w:hideMark/>
          </w:tcPr>
          <w:p w14:paraId="2440C66F" w14:textId="77777777" w:rsidR="005B44CA" w:rsidRPr="00C06872" w:rsidRDefault="005B44CA" w:rsidP="005B44CA">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35.9</w:t>
            </w:r>
          </w:p>
        </w:tc>
      </w:tr>
    </w:tbl>
    <w:p w14:paraId="544F6C10" w14:textId="51D99BEC" w:rsidR="005B44CA" w:rsidRPr="00B13AFE" w:rsidRDefault="005B44CA" w:rsidP="005B44CA">
      <w:pPr>
        <w:spacing w:line="360" w:lineRule="auto"/>
        <w:ind w:left="2124" w:firstLine="708"/>
        <w:jc w:val="both"/>
        <w:rPr>
          <w:rFonts w:ascii="Arial" w:hAnsi="Arial" w:cs="Arial"/>
          <w:sz w:val="20"/>
        </w:rPr>
      </w:pPr>
      <w:r w:rsidRPr="00B13AFE">
        <w:rPr>
          <w:rFonts w:ascii="Arial" w:hAnsi="Arial" w:cs="Arial"/>
          <w:b/>
          <w:sz w:val="20"/>
        </w:rPr>
        <w:t>Fuente:</w:t>
      </w:r>
      <w:r w:rsidRPr="00B13AFE">
        <w:rPr>
          <w:rFonts w:ascii="Arial" w:hAnsi="Arial" w:cs="Arial"/>
          <w:sz w:val="20"/>
        </w:rPr>
        <w:t xml:space="preserve"> Heinze </w:t>
      </w:r>
      <w:r w:rsidR="00C87899">
        <w:rPr>
          <w:rFonts w:ascii="Arial" w:hAnsi="Arial" w:cs="Arial"/>
          <w:i/>
          <w:sz w:val="20"/>
        </w:rPr>
        <w:t>et</w:t>
      </w:r>
      <w:r w:rsidRPr="00B13AFE">
        <w:rPr>
          <w:rFonts w:ascii="Arial" w:hAnsi="Arial" w:cs="Arial"/>
          <w:i/>
          <w:sz w:val="20"/>
        </w:rPr>
        <w:t xml:space="preserve"> al.</w:t>
      </w:r>
      <w:r w:rsidRPr="00B13AFE">
        <w:rPr>
          <w:rFonts w:ascii="Arial" w:hAnsi="Arial" w:cs="Arial"/>
          <w:sz w:val="20"/>
        </w:rPr>
        <w:t xml:space="preserve"> (2018), p. 344.</w:t>
      </w:r>
    </w:p>
    <w:p w14:paraId="05F18E03" w14:textId="4B5AB8D1" w:rsidR="005B44CA" w:rsidRDefault="00E13458" w:rsidP="005B44CA">
      <w:pPr>
        <w:spacing w:line="360" w:lineRule="auto"/>
        <w:jc w:val="both"/>
        <w:rPr>
          <w:rFonts w:ascii="Arial" w:hAnsi="Arial" w:cs="Arial"/>
        </w:rPr>
      </w:pPr>
      <w:r>
        <w:rPr>
          <w:rFonts w:ascii="Arial" w:hAnsi="Arial" w:cs="Arial"/>
        </w:rPr>
        <w:t>Al r</w:t>
      </w:r>
      <w:r w:rsidR="009471D5">
        <w:rPr>
          <w:rFonts w:ascii="Arial" w:hAnsi="Arial" w:cs="Arial"/>
        </w:rPr>
        <w:t>especto</w:t>
      </w:r>
      <w:r w:rsidR="005B44CA">
        <w:rPr>
          <w:rFonts w:ascii="Arial" w:hAnsi="Arial" w:cs="Arial"/>
        </w:rPr>
        <w:t>, es importante señalar que los recursos humanos son el activo principal de los sistemas de salud, y la capacidad de respuesta de éstos dependen, entre otros factores, del tamaño, composición, distribución y productividad de su fuerza laboral</w:t>
      </w:r>
      <w:r w:rsidR="005B44CA">
        <w:rPr>
          <w:rStyle w:val="Refdenotaalpie"/>
          <w:rFonts w:ascii="Arial" w:hAnsi="Arial" w:cs="Arial"/>
        </w:rPr>
        <w:footnoteReference w:id="95"/>
      </w:r>
      <w:r w:rsidR="005B44CA">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sidR="005B44CA">
        <w:rPr>
          <w:rStyle w:val="Refdenotaalpie"/>
          <w:rFonts w:ascii="Arial" w:hAnsi="Arial" w:cs="Arial"/>
        </w:rPr>
        <w:footnoteReference w:id="96"/>
      </w:r>
      <w:r w:rsidR="005B44CA">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sidR="005B44CA">
        <w:rPr>
          <w:rStyle w:val="Refdenotaalpie"/>
          <w:rFonts w:ascii="Arial" w:hAnsi="Arial" w:cs="Arial"/>
        </w:rPr>
        <w:footnoteReference w:id="97"/>
      </w:r>
      <w:r w:rsidR="005B44CA">
        <w:rPr>
          <w:rFonts w:ascii="Arial" w:hAnsi="Arial" w:cs="Arial"/>
        </w:rPr>
        <w:t>.</w:t>
      </w:r>
    </w:p>
    <w:p w14:paraId="1EE1C7A8" w14:textId="77777777" w:rsidR="005B44CA" w:rsidRDefault="005B44CA" w:rsidP="005B44CA">
      <w:pPr>
        <w:spacing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14:paraId="56B54535" w14:textId="77777777" w:rsidR="005B44CA" w:rsidRDefault="005B44CA" w:rsidP="005B44CA">
      <w:pPr>
        <w:spacing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 xml:space="preserve">plazas de especialistas en </w:t>
      </w:r>
      <w:r w:rsidRPr="000B10B8">
        <w:rPr>
          <w:rFonts w:ascii="Arial" w:hAnsi="Arial" w:cs="Arial"/>
          <w:sz w:val="20"/>
        </w:rPr>
        <w:lastRenderedPageBreak/>
        <w:t>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t>sus perfiles epidemiológicos); elab</w:t>
      </w:r>
      <w:r>
        <w:rPr>
          <w:rFonts w:ascii="Arial" w:hAnsi="Arial" w:cs="Arial"/>
          <w:sz w:val="20"/>
        </w:rPr>
        <w:t xml:space="preserve">orar un diagnóstico situacional </w:t>
      </w:r>
      <w:r w:rsidRPr="000B10B8">
        <w:rPr>
          <w:rFonts w:ascii="Arial" w:hAnsi="Arial" w:cs="Arial"/>
          <w:sz w:val="20"/>
        </w:rPr>
        <w:t>y divulgar la información resultant</w:t>
      </w:r>
      <w:r>
        <w:rPr>
          <w:rFonts w:ascii="Arial" w:hAnsi="Arial" w:cs="Arial"/>
          <w:sz w:val="20"/>
        </w:rPr>
        <w:t xml:space="preserve">e; que las autoridades de salud </w:t>
      </w:r>
      <w:r w:rsidRPr="000B10B8">
        <w:rPr>
          <w:rFonts w:ascii="Arial" w:hAnsi="Arial" w:cs="Arial"/>
          <w:sz w:val="20"/>
        </w:rPr>
        <w:t>intensifiquen los mecanismos de promoción para atraer a los 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sz w:val="20"/>
        </w:rPr>
        <w:footnoteReference w:id="98"/>
      </w:r>
    </w:p>
    <w:p w14:paraId="125458AD" w14:textId="77777777" w:rsidR="00E13458" w:rsidRDefault="005B44CA" w:rsidP="005B44CA">
      <w:pPr>
        <w:spacing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14:paraId="6B889070" w14:textId="35E0F846" w:rsidR="005B44CA" w:rsidRDefault="005B44CA" w:rsidP="005B44CA">
      <w:pPr>
        <w:spacing w:line="360" w:lineRule="auto"/>
        <w:jc w:val="both"/>
        <w:rPr>
          <w:rFonts w:ascii="Arial" w:hAnsi="Arial" w:cs="Arial"/>
        </w:rPr>
      </w:pPr>
      <w:r>
        <w:rPr>
          <w:rFonts w:ascii="Arial" w:hAnsi="Arial" w:cs="Arial"/>
        </w:rPr>
        <w:lastRenderedPageBreak/>
        <w:t>Para el IV Trimestre de 2018, la ENOE señala que el 100% de la población encuestada con estudios de posgrado en el campo de la Medicina es población ocupada</w:t>
      </w:r>
      <w:r>
        <w:rPr>
          <w:rStyle w:val="Refdenotaalpie"/>
          <w:rFonts w:ascii="Arial" w:hAnsi="Arial" w:cs="Arial"/>
        </w:rPr>
        <w:footnoteReference w:id="99"/>
      </w:r>
      <w:r>
        <w:rPr>
          <w:rFonts w:ascii="Arial" w:hAnsi="Arial" w:cs="Arial"/>
        </w:rPr>
        <w:t xml:space="preserve"> </w:t>
      </w:r>
      <w:r>
        <w:rPr>
          <w:rStyle w:val="Refdenotaalpie"/>
          <w:rFonts w:ascii="Arial" w:hAnsi="Arial" w:cs="Arial"/>
        </w:rPr>
        <w:footnoteReference w:id="100"/>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00C87899">
        <w:rPr>
          <w:rFonts w:ascii="Arial" w:hAnsi="Arial" w:cs="Arial"/>
          <w:i/>
        </w:rPr>
        <w:t>et</w:t>
      </w:r>
      <w:r w:rsidRPr="005C538D">
        <w:rPr>
          <w:rFonts w:ascii="Arial" w:hAnsi="Arial" w:cs="Arial"/>
          <w:i/>
        </w:rPr>
        <w:t xml:space="preserve"> al.</w:t>
      </w:r>
      <w:r>
        <w:rPr>
          <w:rFonts w:ascii="Arial" w:hAnsi="Arial" w:cs="Arial"/>
        </w:rPr>
        <w:t xml:space="preserve"> señalan problemas de ineficiencia en la inserción de los médicos –generales y especialistas– al mercado laboral; sus estimaciones sugieren que 87.7% de los médicos en el país están empleados, por otro lado 8.9% de estos profesionistas están en el subempleo y 3.4% en el desempleo, por lo cual hay un desperdicio de 12.3% de los médicos a nivel nacional</w:t>
      </w:r>
      <w:r>
        <w:rPr>
          <w:rStyle w:val="Refdenotaalpie"/>
          <w:rFonts w:ascii="Arial" w:hAnsi="Arial" w:cs="Arial"/>
        </w:rPr>
        <w:footnoteReference w:id="101"/>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102"/>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103"/>
      </w:r>
      <w:r>
        <w:rPr>
          <w:rFonts w:ascii="Arial" w:hAnsi="Arial" w:cs="Arial"/>
        </w:rPr>
        <w:t>.</w:t>
      </w:r>
    </w:p>
    <w:p w14:paraId="589C9115" w14:textId="0976BF94" w:rsidR="00E13458" w:rsidRDefault="00E13458" w:rsidP="005B44CA">
      <w:pPr>
        <w:spacing w:line="360" w:lineRule="auto"/>
        <w:jc w:val="both"/>
        <w:rPr>
          <w:rFonts w:ascii="Arial" w:hAnsi="Arial" w:cs="Arial"/>
        </w:rPr>
      </w:pPr>
    </w:p>
    <w:p w14:paraId="2BA0484A" w14:textId="3F020936" w:rsidR="00E13458" w:rsidRDefault="00E13458" w:rsidP="005B44CA">
      <w:pPr>
        <w:spacing w:line="360" w:lineRule="auto"/>
        <w:jc w:val="both"/>
        <w:rPr>
          <w:rFonts w:ascii="Arial" w:hAnsi="Arial" w:cs="Arial"/>
        </w:rPr>
      </w:pPr>
    </w:p>
    <w:p w14:paraId="4C283DA6" w14:textId="77777777" w:rsidR="00E13458" w:rsidRDefault="00E13458" w:rsidP="005B44CA">
      <w:pPr>
        <w:spacing w:line="360" w:lineRule="auto"/>
        <w:jc w:val="both"/>
        <w:rPr>
          <w:rFonts w:ascii="Arial" w:hAnsi="Arial" w:cs="Arial"/>
        </w:rPr>
      </w:pPr>
    </w:p>
    <w:p w14:paraId="711A1AB0" w14:textId="25628735" w:rsidR="005B44CA" w:rsidRPr="00DA219B" w:rsidRDefault="005B44CA" w:rsidP="005B44CA">
      <w:pPr>
        <w:spacing w:line="360" w:lineRule="auto"/>
        <w:jc w:val="center"/>
        <w:rPr>
          <w:rFonts w:ascii="Arial" w:hAnsi="Arial" w:cs="Arial"/>
          <w:b/>
        </w:rPr>
      </w:pPr>
      <w:r w:rsidRPr="00DA219B">
        <w:rPr>
          <w:rFonts w:ascii="Arial" w:hAnsi="Arial" w:cs="Arial"/>
          <w:b/>
        </w:rPr>
        <w:lastRenderedPageBreak/>
        <w:t>Gráfica</w:t>
      </w:r>
      <w:r w:rsidR="0019648E">
        <w:rPr>
          <w:rFonts w:ascii="Arial" w:hAnsi="Arial" w:cs="Arial"/>
          <w:b/>
        </w:rPr>
        <w:t xml:space="preserve"> </w:t>
      </w:r>
      <w:r w:rsidR="00F75DA8">
        <w:rPr>
          <w:rFonts w:ascii="Arial" w:hAnsi="Arial" w:cs="Arial"/>
          <w:b/>
        </w:rPr>
        <w:t>12</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14:paraId="117EC867" w14:textId="06F6B4E5" w:rsidR="005B44CA" w:rsidRDefault="005B44CA" w:rsidP="005B44CA">
      <w:pPr>
        <w:spacing w:line="360" w:lineRule="auto"/>
        <w:jc w:val="center"/>
        <w:rPr>
          <w:rFonts w:ascii="Arial" w:hAnsi="Arial" w:cs="Arial"/>
        </w:rPr>
      </w:pPr>
      <w:r>
        <w:rPr>
          <w:noProof/>
          <w:lang w:eastAsia="es-MX"/>
        </w:rPr>
        <w:drawing>
          <wp:inline distT="0" distB="0" distL="0" distR="0" wp14:anchorId="61DA19E5" wp14:editId="2D4F24E1">
            <wp:extent cx="4572000" cy="2801722"/>
            <wp:effectExtent l="0" t="0" r="0" b="17780"/>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7DAD1A3" w14:textId="77777777" w:rsidR="005B44CA" w:rsidRPr="00B13AFE" w:rsidRDefault="005B44CA" w:rsidP="005B44CA">
      <w:pPr>
        <w:spacing w:line="360" w:lineRule="auto"/>
        <w:ind w:left="708" w:firstLine="708"/>
        <w:jc w:val="both"/>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14:paraId="30A9393A" w14:textId="77777777" w:rsidR="005B44CA" w:rsidRDefault="005B44CA" w:rsidP="005B44CA">
      <w:pPr>
        <w:spacing w:line="360" w:lineRule="auto"/>
        <w:jc w:val="both"/>
        <w:rPr>
          <w:rFonts w:ascii="Arial" w:hAnsi="Arial" w:cs="Arial"/>
        </w:rPr>
      </w:pPr>
      <w:r>
        <w:rPr>
          <w:rFonts w:ascii="Arial" w:hAnsi="Arial" w:cs="Arial"/>
        </w:rPr>
        <w:t>En cuanto a la posición de la ocupación de los médicos con estudios de posgrado, la mayoría se constituye como t</w:t>
      </w:r>
      <w:r w:rsidRPr="00DA4049">
        <w:rPr>
          <w:rFonts w:ascii="Arial" w:hAnsi="Arial" w:cs="Arial"/>
        </w:rPr>
        <w:t>rabajadores subordinados y remunerados</w:t>
      </w:r>
      <w:r>
        <w:rPr>
          <w:rFonts w:ascii="Arial" w:hAnsi="Arial" w:cs="Arial"/>
        </w:rPr>
        <w:t xml:space="preserve"> (69%), en menor </w:t>
      </w:r>
      <w:r w:rsidRPr="00E13458">
        <w:rPr>
          <w:rFonts w:ascii="Arial" w:hAnsi="Arial" w:cs="Arial"/>
          <w:spacing w:val="-12"/>
        </w:rPr>
        <w:t>proporción están aquellos que son empleadores (15.3%) y trabajadores por cuenta propia (15.2%)</w:t>
      </w:r>
      <w:r w:rsidRPr="00E13458">
        <w:rPr>
          <w:rStyle w:val="Refdenotaalpie"/>
          <w:rFonts w:ascii="Arial" w:hAnsi="Arial" w:cs="Arial"/>
          <w:spacing w:val="-12"/>
        </w:rPr>
        <w:footnoteReference w:id="104"/>
      </w:r>
      <w:r w:rsidRPr="00E13458">
        <w:rPr>
          <w:rFonts w:ascii="Arial" w:hAnsi="Arial" w:cs="Arial"/>
          <w:spacing w:val="-12"/>
        </w:rPr>
        <w:t xml:space="preserve">. </w:t>
      </w:r>
    </w:p>
    <w:p w14:paraId="6999EC00" w14:textId="073CF9AF" w:rsidR="005B44CA" w:rsidRPr="00DA219B" w:rsidRDefault="005B44CA" w:rsidP="005B44CA">
      <w:pPr>
        <w:spacing w:line="360" w:lineRule="auto"/>
        <w:jc w:val="center"/>
        <w:rPr>
          <w:rFonts w:ascii="Arial" w:hAnsi="Arial" w:cs="Arial"/>
          <w:b/>
        </w:rPr>
      </w:pPr>
      <w:r w:rsidRPr="00DA219B">
        <w:rPr>
          <w:rFonts w:ascii="Arial" w:hAnsi="Arial" w:cs="Arial"/>
          <w:b/>
        </w:rPr>
        <w:t>Gráfica</w:t>
      </w:r>
      <w:r w:rsidR="0019648E">
        <w:rPr>
          <w:rFonts w:ascii="Arial" w:hAnsi="Arial" w:cs="Arial"/>
          <w:b/>
        </w:rPr>
        <w:t xml:space="preserve"> </w:t>
      </w:r>
      <w:r w:rsidR="00F75DA8">
        <w:rPr>
          <w:rFonts w:ascii="Arial" w:hAnsi="Arial" w:cs="Arial"/>
          <w:b/>
        </w:rPr>
        <w:t>13</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14:paraId="50FFAE6A" w14:textId="77777777" w:rsidR="005B44CA" w:rsidRDefault="005B44CA" w:rsidP="005B44CA">
      <w:pPr>
        <w:spacing w:line="360" w:lineRule="auto"/>
        <w:jc w:val="center"/>
        <w:rPr>
          <w:rFonts w:ascii="Arial" w:hAnsi="Arial" w:cs="Arial"/>
        </w:rPr>
      </w:pPr>
      <w:r>
        <w:rPr>
          <w:noProof/>
          <w:lang w:eastAsia="es-MX"/>
        </w:rPr>
        <w:drawing>
          <wp:inline distT="0" distB="0" distL="0" distR="0" wp14:anchorId="7D30CE76" wp14:editId="546AB5B0">
            <wp:extent cx="4572000" cy="2268747"/>
            <wp:effectExtent l="0" t="0" r="0" b="1778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7BD3005B" w14:textId="469B9237" w:rsidR="005B44CA" w:rsidRPr="00B13AFE" w:rsidRDefault="00560437" w:rsidP="00E13458">
      <w:pPr>
        <w:spacing w:after="0" w:line="240" w:lineRule="auto"/>
        <w:ind w:left="709" w:firstLine="709"/>
        <w:jc w:val="both"/>
        <w:rPr>
          <w:rFonts w:ascii="Arial" w:hAnsi="Arial" w:cs="Arial"/>
          <w:sz w:val="20"/>
        </w:rPr>
      </w:pPr>
      <w:r>
        <w:rPr>
          <w:rFonts w:ascii="Arial" w:hAnsi="Arial" w:cs="Arial"/>
          <w:b/>
          <w:sz w:val="20"/>
        </w:rPr>
        <w:t xml:space="preserve">         </w:t>
      </w:r>
      <w:r w:rsidR="005B44CA" w:rsidRPr="00B13AFE">
        <w:rPr>
          <w:rFonts w:ascii="Arial" w:hAnsi="Arial" w:cs="Arial"/>
          <w:b/>
          <w:sz w:val="20"/>
        </w:rPr>
        <w:t>Fuente:</w:t>
      </w:r>
      <w:r w:rsidR="005B44CA">
        <w:rPr>
          <w:rFonts w:ascii="Arial" w:hAnsi="Arial" w:cs="Arial"/>
          <w:sz w:val="20"/>
        </w:rPr>
        <w:t xml:space="preserve"> Elaboración propia con base en INEGI (2019a).</w:t>
      </w:r>
    </w:p>
    <w:p w14:paraId="68C199D1" w14:textId="77777777" w:rsidR="005B44CA" w:rsidRDefault="005B44CA" w:rsidP="005B44CA">
      <w:pPr>
        <w:spacing w:line="360" w:lineRule="auto"/>
        <w:jc w:val="both"/>
        <w:rPr>
          <w:rFonts w:ascii="Arial" w:hAnsi="Arial" w:cs="Arial"/>
        </w:rPr>
      </w:pPr>
      <w:r>
        <w:rPr>
          <w:rFonts w:ascii="Arial" w:hAnsi="Arial" w:cs="Arial"/>
        </w:rPr>
        <w:lastRenderedPageBreak/>
        <w:t>Respecto a las percepciones económicas,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105"/>
      </w:r>
      <w:r>
        <w:rPr>
          <w:rFonts w:ascii="Arial" w:hAnsi="Arial" w:cs="Arial"/>
        </w:rPr>
        <w:t xml:space="preserve">. </w:t>
      </w:r>
    </w:p>
    <w:p w14:paraId="21CB3C42" w14:textId="640EA0E2" w:rsidR="005B44CA" w:rsidRPr="00DA219B" w:rsidRDefault="005B44CA" w:rsidP="005B44CA">
      <w:pPr>
        <w:spacing w:line="240" w:lineRule="auto"/>
        <w:jc w:val="center"/>
        <w:rPr>
          <w:rFonts w:ascii="Arial" w:hAnsi="Arial" w:cs="Arial"/>
          <w:b/>
        </w:rPr>
      </w:pPr>
      <w:r w:rsidRPr="00DA219B">
        <w:rPr>
          <w:rFonts w:ascii="Arial" w:hAnsi="Arial" w:cs="Arial"/>
          <w:b/>
        </w:rPr>
        <w:t>Gráfica</w:t>
      </w:r>
      <w:r w:rsidR="00245744">
        <w:rPr>
          <w:rFonts w:ascii="Arial" w:hAnsi="Arial" w:cs="Arial"/>
          <w:b/>
        </w:rPr>
        <w:t xml:space="preserve"> </w:t>
      </w:r>
      <w:r w:rsidR="00F75DA8">
        <w:rPr>
          <w:rFonts w:ascii="Arial" w:hAnsi="Arial" w:cs="Arial"/>
          <w:b/>
        </w:rPr>
        <w:t>14</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14:paraId="0CD37FC7" w14:textId="77777777" w:rsidR="005B44CA" w:rsidRDefault="005B44CA" w:rsidP="005B44CA">
      <w:pPr>
        <w:spacing w:line="360" w:lineRule="auto"/>
        <w:jc w:val="center"/>
        <w:rPr>
          <w:rFonts w:ascii="Arial" w:hAnsi="Arial" w:cs="Arial"/>
        </w:rPr>
      </w:pPr>
      <w:r>
        <w:rPr>
          <w:noProof/>
          <w:lang w:eastAsia="es-MX"/>
        </w:rPr>
        <w:drawing>
          <wp:inline distT="0" distB="0" distL="0" distR="0" wp14:anchorId="06664E6F" wp14:editId="1DDBA954">
            <wp:extent cx="4572000" cy="2743200"/>
            <wp:effectExtent l="0" t="0" r="0" b="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8D9B9EE" w14:textId="31D0651F" w:rsidR="005B44CA" w:rsidRPr="009F3F6B" w:rsidRDefault="00FF317B" w:rsidP="005B44CA">
      <w:pPr>
        <w:spacing w:line="360" w:lineRule="auto"/>
        <w:ind w:left="708" w:firstLine="708"/>
        <w:jc w:val="both"/>
        <w:rPr>
          <w:rFonts w:ascii="Arial" w:hAnsi="Arial" w:cs="Arial"/>
          <w:sz w:val="20"/>
        </w:rPr>
      </w:pPr>
      <w:r>
        <w:rPr>
          <w:rFonts w:ascii="Arial" w:hAnsi="Arial" w:cs="Arial"/>
          <w:b/>
          <w:sz w:val="20"/>
        </w:rPr>
        <w:t xml:space="preserve">        </w:t>
      </w:r>
      <w:r w:rsidR="005B44CA" w:rsidRPr="00B13AFE">
        <w:rPr>
          <w:rFonts w:ascii="Arial" w:hAnsi="Arial" w:cs="Arial"/>
          <w:b/>
          <w:sz w:val="20"/>
        </w:rPr>
        <w:t>Fuente:</w:t>
      </w:r>
      <w:r w:rsidR="005B44CA">
        <w:rPr>
          <w:rFonts w:ascii="Arial" w:hAnsi="Arial" w:cs="Arial"/>
          <w:sz w:val="20"/>
        </w:rPr>
        <w:t xml:space="preserve"> Elaboración propia con base en INEGI (2019a).</w:t>
      </w:r>
    </w:p>
    <w:p w14:paraId="034B3984" w14:textId="77777777" w:rsidR="0071010C" w:rsidRPr="00F17473" w:rsidRDefault="005B44CA" w:rsidP="0071010C">
      <w:pPr>
        <w:spacing w:line="360" w:lineRule="auto"/>
        <w:jc w:val="both"/>
        <w:rPr>
          <w:rFonts w:ascii="Arial" w:hAnsi="Arial" w:cs="Arial"/>
          <w:b/>
        </w:rPr>
      </w:pPr>
      <w:r>
        <w:rPr>
          <w:rFonts w:ascii="Arial" w:hAnsi="Arial" w:cs="Arial"/>
          <w:b/>
        </w:rPr>
        <w:t>V</w:t>
      </w:r>
      <w:r w:rsidR="006046FB">
        <w:rPr>
          <w:rFonts w:ascii="Arial" w:hAnsi="Arial" w:cs="Arial"/>
          <w:b/>
        </w:rPr>
        <w:t>I</w:t>
      </w:r>
      <w:r>
        <w:rPr>
          <w:rFonts w:ascii="Arial" w:hAnsi="Arial" w:cs="Arial"/>
          <w:b/>
        </w:rPr>
        <w:t xml:space="preserve">. </w:t>
      </w:r>
      <w:r w:rsidR="0071010C" w:rsidRPr="00F17473">
        <w:rPr>
          <w:rFonts w:ascii="Arial" w:hAnsi="Arial" w:cs="Arial"/>
          <w:b/>
        </w:rPr>
        <w:t xml:space="preserve">OFERTA EDUCATIVA </w:t>
      </w:r>
    </w:p>
    <w:p w14:paraId="082C49BF" w14:textId="22C413A1" w:rsidR="00B207D0" w:rsidRPr="00642DED" w:rsidRDefault="00B207D0" w:rsidP="007C0B53">
      <w:pPr>
        <w:spacing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sidR="00FF317B">
        <w:rPr>
          <w:rStyle w:val="Refdenotaalpie"/>
          <w:rFonts w:ascii="Arial" w:hAnsi="Arial" w:cs="Arial"/>
        </w:rPr>
        <w:footnoteReference w:id="106"/>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14:paraId="2615D385" w14:textId="3F03BD2B" w:rsidR="00B207D0" w:rsidRPr="00642DED" w:rsidRDefault="00B207D0" w:rsidP="007C0B53">
      <w:pPr>
        <w:spacing w:line="360" w:lineRule="auto"/>
        <w:jc w:val="both"/>
        <w:rPr>
          <w:rFonts w:ascii="Arial" w:hAnsi="Arial" w:cs="Arial"/>
        </w:rPr>
      </w:pPr>
      <w:r w:rsidRPr="00642DED">
        <w:rPr>
          <w:rFonts w:ascii="Arial" w:hAnsi="Arial" w:cs="Arial"/>
        </w:rPr>
        <w:lastRenderedPageBreak/>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Anestesiología, primero se abordarán algunos aspectos generales de las especialidades médicas que servirán de referentes.  </w:t>
      </w:r>
    </w:p>
    <w:p w14:paraId="2E605276" w14:textId="309916EC" w:rsidR="00B207D0" w:rsidRDefault="00B207D0" w:rsidP="007C0B53">
      <w:pPr>
        <w:spacing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la demanda 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se estudiaron tanto la oferta como la demanda en un periodo de siete años, de 2009 a 2016. Algunos de los datos se encuentran en la Tabla 1.</w:t>
      </w:r>
    </w:p>
    <w:p w14:paraId="404834BC" w14:textId="77777777" w:rsidR="00B207D0" w:rsidRPr="006A1B3A" w:rsidRDefault="00B207D0" w:rsidP="007C0B53">
      <w:pPr>
        <w:jc w:val="center"/>
        <w:rPr>
          <w:rFonts w:ascii="Indivisa Text Sans" w:hAnsi="Indivisa Text Sans"/>
          <w:b/>
        </w:rPr>
      </w:pPr>
      <w:r w:rsidRPr="00642DED">
        <w:rPr>
          <w:rFonts w:ascii="Arial" w:hAnsi="Arial" w:cs="Arial"/>
          <w:b/>
        </w:rPr>
        <w:t>Tabla 1.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B207D0" w:rsidRPr="006A1B3A" w14:paraId="1825F008" w14:textId="77777777" w:rsidTr="00B207D0">
        <w:trPr>
          <w:tblHeader/>
          <w:jc w:val="center"/>
        </w:trPr>
        <w:tc>
          <w:tcPr>
            <w:tcW w:w="4414" w:type="dxa"/>
            <w:shd w:val="clear" w:color="auto" w:fill="2F5496" w:themeFill="accent5" w:themeFillShade="BF"/>
          </w:tcPr>
          <w:p w14:paraId="2D1BEF28"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14:paraId="23B2A9B9"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B207D0" w:rsidRPr="006A1B3A" w14:paraId="0066B703" w14:textId="77777777" w:rsidTr="00B207D0">
        <w:trPr>
          <w:jc w:val="center"/>
        </w:trPr>
        <w:tc>
          <w:tcPr>
            <w:tcW w:w="4414" w:type="dxa"/>
          </w:tcPr>
          <w:p w14:paraId="027623E0" w14:textId="77777777" w:rsidR="00B207D0" w:rsidRPr="00642DED" w:rsidRDefault="00B207D0" w:rsidP="00B207D0">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14:paraId="094AE800" w14:textId="77777777" w:rsidR="00B207D0" w:rsidRPr="00642DED" w:rsidRDefault="00B207D0" w:rsidP="00B207D0">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14:paraId="19B2EE25" w14:textId="77777777" w:rsidR="00B207D0" w:rsidRPr="00642DED" w:rsidRDefault="00B207D0" w:rsidP="00B207D0">
            <w:pPr>
              <w:jc w:val="both"/>
              <w:rPr>
                <w:rFonts w:ascii="Arial" w:hAnsi="Arial" w:cs="Arial"/>
                <w:sz w:val="20"/>
                <w:szCs w:val="20"/>
              </w:rPr>
            </w:pPr>
          </w:p>
        </w:tc>
      </w:tr>
      <w:tr w:rsidR="00B207D0" w:rsidRPr="006A1B3A" w14:paraId="4487D7B5" w14:textId="77777777" w:rsidTr="00B207D0">
        <w:trPr>
          <w:jc w:val="center"/>
        </w:trPr>
        <w:tc>
          <w:tcPr>
            <w:tcW w:w="4414" w:type="dxa"/>
          </w:tcPr>
          <w:p w14:paraId="7F878D72"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Las 10 especialidades más demandadas fueron:</w:t>
            </w:r>
          </w:p>
          <w:p w14:paraId="0E4A3C14"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Cirugía General</w:t>
            </w:r>
          </w:p>
          <w:p w14:paraId="50EF7380"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Medicina Interna</w:t>
            </w:r>
          </w:p>
          <w:p w14:paraId="0D2EE419"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Pediatría</w:t>
            </w:r>
          </w:p>
          <w:p w14:paraId="5AF14A74"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Ginecología y Obstetricia</w:t>
            </w:r>
          </w:p>
          <w:p w14:paraId="75C226E5"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Medicina Familiar</w:t>
            </w:r>
          </w:p>
          <w:p w14:paraId="345B0877"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Anestesiología</w:t>
            </w:r>
          </w:p>
          <w:p w14:paraId="23609F04"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Traumatología y Ortopedia</w:t>
            </w:r>
          </w:p>
          <w:p w14:paraId="4CC11180"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Imagenología diagnóstica y terapéutica</w:t>
            </w:r>
          </w:p>
          <w:p w14:paraId="25C94C6B"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Medicina de Urgencias</w:t>
            </w:r>
          </w:p>
          <w:p w14:paraId="36857472" w14:textId="77777777" w:rsidR="00B207D0" w:rsidRPr="00642DED" w:rsidRDefault="00B207D0" w:rsidP="00B207D0">
            <w:pPr>
              <w:pStyle w:val="Prrafodelista"/>
              <w:numPr>
                <w:ilvl w:val="0"/>
                <w:numId w:val="5"/>
              </w:numPr>
              <w:jc w:val="both"/>
              <w:rPr>
                <w:rFonts w:ascii="Arial" w:hAnsi="Arial" w:cs="Arial"/>
                <w:sz w:val="20"/>
                <w:szCs w:val="20"/>
              </w:rPr>
            </w:pPr>
            <w:r w:rsidRPr="00642DED">
              <w:rPr>
                <w:rFonts w:ascii="Arial" w:hAnsi="Arial" w:cs="Arial"/>
                <w:sz w:val="20"/>
                <w:szCs w:val="20"/>
              </w:rPr>
              <w:t>Oftalmología</w:t>
            </w:r>
          </w:p>
          <w:p w14:paraId="38D10F82" w14:textId="77777777" w:rsidR="00B207D0" w:rsidRPr="00642DED" w:rsidRDefault="00B207D0" w:rsidP="00B207D0">
            <w:pPr>
              <w:pStyle w:val="Prrafodelista"/>
              <w:jc w:val="both"/>
              <w:rPr>
                <w:rFonts w:ascii="Arial" w:hAnsi="Arial" w:cs="Arial"/>
                <w:sz w:val="20"/>
                <w:szCs w:val="20"/>
              </w:rPr>
            </w:pPr>
          </w:p>
        </w:tc>
        <w:tc>
          <w:tcPr>
            <w:tcW w:w="4414" w:type="dxa"/>
          </w:tcPr>
          <w:p w14:paraId="474CBCC0"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Las 10 especialidades con mayor oferta fueron:</w:t>
            </w:r>
          </w:p>
          <w:p w14:paraId="65F1F960"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Medicina Familiar</w:t>
            </w:r>
          </w:p>
          <w:p w14:paraId="0EF8B9BC"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Medicina Interna</w:t>
            </w:r>
          </w:p>
          <w:p w14:paraId="76FA1D50"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Pediatría</w:t>
            </w:r>
          </w:p>
          <w:p w14:paraId="744372DB"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Anestesiología</w:t>
            </w:r>
          </w:p>
          <w:p w14:paraId="5A9A31DE"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Ginecología y Obstetricia</w:t>
            </w:r>
          </w:p>
          <w:p w14:paraId="68780AA8"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Cirugía General</w:t>
            </w:r>
          </w:p>
          <w:p w14:paraId="603DB648"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Medicina de Urgencias</w:t>
            </w:r>
          </w:p>
          <w:p w14:paraId="3A86CD89"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Traumatología y Ortopedia</w:t>
            </w:r>
          </w:p>
          <w:p w14:paraId="6087D164"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Imagenología diagnóstica y terapéutica</w:t>
            </w:r>
          </w:p>
          <w:p w14:paraId="5578D440" w14:textId="77777777" w:rsidR="00B207D0" w:rsidRPr="00642DED" w:rsidRDefault="00B207D0" w:rsidP="00B207D0">
            <w:pPr>
              <w:pStyle w:val="Prrafodelista"/>
              <w:numPr>
                <w:ilvl w:val="0"/>
                <w:numId w:val="4"/>
              </w:numPr>
              <w:jc w:val="both"/>
              <w:rPr>
                <w:rFonts w:ascii="Arial" w:hAnsi="Arial" w:cs="Arial"/>
                <w:sz w:val="20"/>
                <w:szCs w:val="20"/>
              </w:rPr>
            </w:pPr>
            <w:r w:rsidRPr="00642DED">
              <w:rPr>
                <w:rFonts w:ascii="Arial" w:hAnsi="Arial" w:cs="Arial"/>
                <w:sz w:val="20"/>
                <w:szCs w:val="20"/>
              </w:rPr>
              <w:t>Oftalmología</w:t>
            </w:r>
          </w:p>
          <w:p w14:paraId="17737CCF" w14:textId="77777777" w:rsidR="00B207D0" w:rsidRPr="00642DED" w:rsidRDefault="00B207D0" w:rsidP="00B207D0">
            <w:pPr>
              <w:pStyle w:val="Prrafodelista"/>
              <w:jc w:val="both"/>
              <w:rPr>
                <w:rFonts w:ascii="Arial" w:hAnsi="Arial" w:cs="Arial"/>
                <w:sz w:val="20"/>
                <w:szCs w:val="20"/>
              </w:rPr>
            </w:pPr>
          </w:p>
        </w:tc>
      </w:tr>
      <w:tr w:rsidR="00B207D0" w:rsidRPr="006A1B3A" w14:paraId="6891C1EF" w14:textId="77777777" w:rsidTr="00B207D0">
        <w:trPr>
          <w:jc w:val="center"/>
        </w:trPr>
        <w:tc>
          <w:tcPr>
            <w:tcW w:w="8828" w:type="dxa"/>
            <w:gridSpan w:val="2"/>
          </w:tcPr>
          <w:p w14:paraId="2A6B11AC"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14:paraId="3AC9CE7B" w14:textId="77777777" w:rsidR="00B207D0" w:rsidRPr="00642DED" w:rsidRDefault="00B207D0" w:rsidP="00B207D0">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Brechas en la Disponibilidad de Médicos y Enfermeras Especialistas en el Sistema Nacional de Salud (2017).</w:t>
      </w:r>
    </w:p>
    <w:p w14:paraId="6B032AA9" w14:textId="1C98EAD5" w:rsidR="00B207D0" w:rsidRPr="00642DED" w:rsidRDefault="00B207D0" w:rsidP="007C0B53">
      <w:pPr>
        <w:spacing w:line="360" w:lineRule="auto"/>
        <w:jc w:val="both"/>
        <w:rPr>
          <w:rFonts w:ascii="Arial" w:hAnsi="Arial" w:cs="Arial"/>
        </w:rPr>
      </w:pPr>
      <w:r w:rsidRPr="00642DED">
        <w:rPr>
          <w:rFonts w:ascii="Arial" w:hAnsi="Arial" w:cs="Arial"/>
        </w:rPr>
        <w:t xml:space="preserve">Según el documento de la Academia Nacional de Medicina sobre </w:t>
      </w:r>
      <w:r w:rsidRPr="00642DED">
        <w:rPr>
          <w:rFonts w:ascii="Arial" w:hAnsi="Arial" w:cs="Arial"/>
          <w:i/>
        </w:rPr>
        <w:t xml:space="preserve">La Formación de </w:t>
      </w:r>
      <w:r w:rsidR="00560437">
        <w:rPr>
          <w:rFonts w:ascii="Arial" w:hAnsi="Arial" w:cs="Arial"/>
          <w:i/>
        </w:rPr>
        <w:t>Médicos Especialistas en México</w:t>
      </w:r>
      <w:r w:rsidR="00560437">
        <w:rPr>
          <w:rStyle w:val="Refdenotaalpie"/>
          <w:rFonts w:ascii="Arial" w:hAnsi="Arial" w:cs="Arial"/>
          <w:i/>
        </w:rPr>
        <w:footnoteReference w:id="107"/>
      </w:r>
      <w:r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Pr="00642DED">
        <w:rPr>
          <w:rFonts w:ascii="Arial" w:hAnsi="Arial" w:cs="Arial"/>
          <w:i/>
        </w:rPr>
        <w:t xml:space="preserve">Brechas en la Disponibilidad de Médicos y Enfermeras Especialistas en el Sistema de Nacional de Salud </w:t>
      </w:r>
      <w:r w:rsidRPr="00642DED">
        <w:rPr>
          <w:rFonts w:ascii="Arial" w:hAnsi="Arial" w:cs="Arial"/>
        </w:rPr>
        <w:t xml:space="preserve"> del Instituto Nacional de Salud Pública.</w:t>
      </w:r>
    </w:p>
    <w:p w14:paraId="73887766" w14:textId="77777777" w:rsidR="00B207D0" w:rsidRPr="00642DED" w:rsidRDefault="00B207D0" w:rsidP="007C0B53">
      <w:pPr>
        <w:spacing w:line="360" w:lineRule="auto"/>
        <w:jc w:val="both"/>
        <w:rPr>
          <w:rFonts w:ascii="Arial" w:hAnsi="Arial" w:cs="Arial"/>
        </w:rPr>
      </w:pPr>
      <w:r w:rsidRPr="00642DED">
        <w:rPr>
          <w:rFonts w:ascii="Arial" w:hAnsi="Arial" w:cs="Arial"/>
        </w:rPr>
        <w:lastRenderedPageBreak/>
        <w:t xml:space="preserve">Específicamente, en lo que concierne a la Especialidad en Anestesiología puede observarse que es la sexta especialidad con mayor demanda y la cuarta con mayor oferta (Tabla 1). Según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2016 se ofertaron 773 plazas para los 3,832 médicos generales que sustentaron el Examen Nacional de Aspirantes a Residencias Médicas (ENARM) para ingresar a la Especialidad en Anestesiología, de lo anterior se desprende que aproximadamente 1 de cada 5 sustentantes ingresó a la residencia.</w:t>
      </w:r>
    </w:p>
    <w:p w14:paraId="5559745F" w14:textId="448E4A1A" w:rsidR="00B207D0" w:rsidRPr="004905C4" w:rsidRDefault="00B207D0" w:rsidP="007C0B53">
      <w:pPr>
        <w:spacing w:line="360" w:lineRule="auto"/>
        <w:jc w:val="both"/>
        <w:rPr>
          <w:rFonts w:ascii="Arial" w:hAnsi="Arial" w:cs="Arial"/>
          <w:spacing w:val="-18"/>
        </w:rPr>
      </w:pPr>
      <w:r w:rsidRPr="004905C4">
        <w:rPr>
          <w:rFonts w:ascii="Arial" w:hAnsi="Arial" w:cs="Arial"/>
          <w:spacing w:val="-18"/>
        </w:rPr>
        <w:t>De acuerdo al último anuario de la Asociación Nacional de Universidades e Instituciones de Educación Superior (ANUIES, 2018), existen 29 IES en el país que avalan 30 programas de Especialidad en Anestesiología. En la Tabla 2, que contiene el número de IES y programas por sector, puede observarse que existe un claro predominio de las IES públicas, sobre las privadas en la formación de especialistas en Anestesiología.</w:t>
      </w:r>
    </w:p>
    <w:p w14:paraId="63D24523" w14:textId="77777777" w:rsidR="00B207D0" w:rsidRPr="007C0B53" w:rsidRDefault="00B207D0" w:rsidP="00B207D0">
      <w:pPr>
        <w:jc w:val="center"/>
        <w:rPr>
          <w:rFonts w:ascii="Arial" w:hAnsi="Arial" w:cs="Arial"/>
          <w:b/>
          <w:spacing w:val="-12"/>
        </w:rPr>
      </w:pPr>
      <w:r w:rsidRPr="007C0B53">
        <w:rPr>
          <w:rFonts w:ascii="Arial" w:hAnsi="Arial" w:cs="Arial"/>
          <w:b/>
          <w:spacing w:val="-12"/>
        </w:rPr>
        <w:t>Tabla 2. IES, Programas, Ingreso, Matrícula y Egreso de la Especialidad en Anestesiología a Nivel Nacional en 2018.</w:t>
      </w:r>
    </w:p>
    <w:tbl>
      <w:tblPr>
        <w:tblStyle w:val="Tablaconcuadrcula"/>
        <w:tblW w:w="0" w:type="auto"/>
        <w:jc w:val="center"/>
        <w:tblLook w:val="04A0" w:firstRow="1" w:lastRow="0" w:firstColumn="1" w:lastColumn="0" w:noHBand="0" w:noVBand="1"/>
      </w:tblPr>
      <w:tblGrid>
        <w:gridCol w:w="1271"/>
        <w:gridCol w:w="1418"/>
        <w:gridCol w:w="1495"/>
        <w:gridCol w:w="1495"/>
        <w:gridCol w:w="1495"/>
        <w:gridCol w:w="1495"/>
      </w:tblGrid>
      <w:tr w:rsidR="00B207D0" w:rsidRPr="006A1B3A" w14:paraId="3A0201B7" w14:textId="77777777" w:rsidTr="00B207D0">
        <w:trPr>
          <w:jc w:val="center"/>
        </w:trPr>
        <w:tc>
          <w:tcPr>
            <w:tcW w:w="1271" w:type="dxa"/>
            <w:shd w:val="clear" w:color="auto" w:fill="2F5496" w:themeFill="accent5" w:themeFillShade="BF"/>
          </w:tcPr>
          <w:p w14:paraId="14B34DBF" w14:textId="77777777" w:rsidR="00B207D0" w:rsidRPr="006A1B3A" w:rsidRDefault="00B207D0" w:rsidP="00B207D0">
            <w:pPr>
              <w:jc w:val="center"/>
              <w:rPr>
                <w:rFonts w:ascii="Indivisa Text Sans" w:hAnsi="Indivisa Text Sans"/>
                <w:b/>
                <w:color w:val="FFFFFF" w:themeColor="background1"/>
              </w:rPr>
            </w:pPr>
            <w:r w:rsidRPr="006A1B3A">
              <w:rPr>
                <w:rFonts w:ascii="Indivisa Text Sans" w:hAnsi="Indivisa Text Sans"/>
                <w:b/>
                <w:color w:val="FFFFFF" w:themeColor="background1"/>
              </w:rPr>
              <w:t>SECTOR</w:t>
            </w:r>
          </w:p>
        </w:tc>
        <w:tc>
          <w:tcPr>
            <w:tcW w:w="1418" w:type="dxa"/>
            <w:shd w:val="clear" w:color="auto" w:fill="2F5496" w:themeFill="accent5" w:themeFillShade="BF"/>
          </w:tcPr>
          <w:p w14:paraId="3DBA5FCB" w14:textId="77777777" w:rsidR="00B207D0" w:rsidRPr="006A1B3A" w:rsidRDefault="00B207D0" w:rsidP="00B207D0">
            <w:pPr>
              <w:jc w:val="center"/>
              <w:rPr>
                <w:rFonts w:ascii="Indivisa Text Sans" w:hAnsi="Indivisa Text Sans"/>
                <w:b/>
                <w:color w:val="FFFFFF" w:themeColor="background1"/>
              </w:rPr>
            </w:pPr>
            <w:r w:rsidRPr="006A1B3A">
              <w:rPr>
                <w:rFonts w:ascii="Indivisa Text Sans" w:hAnsi="Indivisa Text Sans"/>
                <w:b/>
                <w:color w:val="FFFFFF" w:themeColor="background1"/>
              </w:rPr>
              <w:t>IES</w:t>
            </w:r>
          </w:p>
        </w:tc>
        <w:tc>
          <w:tcPr>
            <w:tcW w:w="1495" w:type="dxa"/>
            <w:shd w:val="clear" w:color="auto" w:fill="2F5496" w:themeFill="accent5" w:themeFillShade="BF"/>
          </w:tcPr>
          <w:p w14:paraId="31F9CC8F" w14:textId="77777777" w:rsidR="00B207D0" w:rsidRPr="006A1B3A" w:rsidRDefault="00B207D0" w:rsidP="00B207D0">
            <w:pPr>
              <w:jc w:val="center"/>
              <w:rPr>
                <w:rFonts w:ascii="Indivisa Text Sans" w:hAnsi="Indivisa Text Sans"/>
                <w:b/>
                <w:color w:val="FFFFFF" w:themeColor="background1"/>
              </w:rPr>
            </w:pPr>
            <w:r w:rsidRPr="006A1B3A">
              <w:rPr>
                <w:rFonts w:ascii="Indivisa Text Sans" w:hAnsi="Indivisa Text Sans"/>
                <w:b/>
                <w:color w:val="FFFFFF" w:themeColor="background1"/>
              </w:rPr>
              <w:t>PROGRAMAS</w:t>
            </w:r>
          </w:p>
        </w:tc>
        <w:tc>
          <w:tcPr>
            <w:tcW w:w="1495" w:type="dxa"/>
            <w:shd w:val="clear" w:color="auto" w:fill="2F5496" w:themeFill="accent5" w:themeFillShade="BF"/>
          </w:tcPr>
          <w:p w14:paraId="57294D4F" w14:textId="77777777" w:rsidR="00B207D0" w:rsidRPr="006A1B3A" w:rsidRDefault="00B207D0" w:rsidP="00B207D0">
            <w:pPr>
              <w:jc w:val="center"/>
              <w:rPr>
                <w:rFonts w:ascii="Indivisa Text Sans" w:hAnsi="Indivisa Text Sans"/>
                <w:b/>
                <w:color w:val="FFFFFF" w:themeColor="background1"/>
              </w:rPr>
            </w:pPr>
            <w:r>
              <w:rPr>
                <w:rFonts w:ascii="Indivisa Text Sans" w:hAnsi="Indivisa Text Sans"/>
                <w:b/>
                <w:color w:val="FFFFFF" w:themeColor="background1"/>
              </w:rPr>
              <w:t>INGRESO</w:t>
            </w:r>
          </w:p>
        </w:tc>
        <w:tc>
          <w:tcPr>
            <w:tcW w:w="1495" w:type="dxa"/>
            <w:shd w:val="clear" w:color="auto" w:fill="2F5496" w:themeFill="accent5" w:themeFillShade="BF"/>
          </w:tcPr>
          <w:p w14:paraId="6687B4DA" w14:textId="77777777" w:rsidR="00B207D0" w:rsidRDefault="00B207D0" w:rsidP="00B207D0">
            <w:pPr>
              <w:jc w:val="center"/>
              <w:rPr>
                <w:rFonts w:ascii="Indivisa Text Sans" w:hAnsi="Indivisa Text Sans"/>
                <w:b/>
                <w:color w:val="FFFFFF" w:themeColor="background1"/>
              </w:rPr>
            </w:pPr>
            <w:r>
              <w:rPr>
                <w:rFonts w:ascii="Indivisa Text Sans" w:hAnsi="Indivisa Text Sans"/>
                <w:b/>
                <w:color w:val="FFFFFF" w:themeColor="background1"/>
              </w:rPr>
              <w:t>MATRÍCULA</w:t>
            </w:r>
          </w:p>
        </w:tc>
        <w:tc>
          <w:tcPr>
            <w:tcW w:w="1495" w:type="dxa"/>
            <w:shd w:val="clear" w:color="auto" w:fill="2F5496" w:themeFill="accent5" w:themeFillShade="BF"/>
          </w:tcPr>
          <w:p w14:paraId="7F31F146" w14:textId="77777777" w:rsidR="00B207D0" w:rsidRDefault="00B207D0" w:rsidP="00B207D0">
            <w:pPr>
              <w:jc w:val="center"/>
              <w:rPr>
                <w:rFonts w:ascii="Indivisa Text Sans" w:hAnsi="Indivisa Text Sans"/>
                <w:b/>
                <w:color w:val="FFFFFF" w:themeColor="background1"/>
              </w:rPr>
            </w:pPr>
            <w:r>
              <w:rPr>
                <w:rFonts w:ascii="Indivisa Text Sans" w:hAnsi="Indivisa Text Sans"/>
                <w:b/>
                <w:color w:val="FFFFFF" w:themeColor="background1"/>
              </w:rPr>
              <w:t>EGRESO</w:t>
            </w:r>
          </w:p>
        </w:tc>
      </w:tr>
      <w:tr w:rsidR="00B207D0" w:rsidRPr="006A1B3A" w14:paraId="295B5796" w14:textId="77777777" w:rsidTr="00B207D0">
        <w:trPr>
          <w:jc w:val="center"/>
        </w:trPr>
        <w:tc>
          <w:tcPr>
            <w:tcW w:w="1271" w:type="dxa"/>
          </w:tcPr>
          <w:p w14:paraId="7A08A9E9" w14:textId="77777777" w:rsidR="00B207D0" w:rsidRPr="006A1B3A" w:rsidRDefault="00B207D0" w:rsidP="00B207D0">
            <w:pPr>
              <w:jc w:val="center"/>
              <w:rPr>
                <w:rFonts w:ascii="Indivisa Text Sans" w:hAnsi="Indivisa Text Sans"/>
              </w:rPr>
            </w:pPr>
            <w:r w:rsidRPr="006A1B3A">
              <w:rPr>
                <w:rFonts w:ascii="Indivisa Text Sans" w:hAnsi="Indivisa Text Sans"/>
              </w:rPr>
              <w:t>Público</w:t>
            </w:r>
          </w:p>
        </w:tc>
        <w:tc>
          <w:tcPr>
            <w:tcW w:w="1418" w:type="dxa"/>
          </w:tcPr>
          <w:p w14:paraId="396B4715" w14:textId="77777777" w:rsidR="00B207D0" w:rsidRPr="006A1B3A" w:rsidRDefault="00B207D0" w:rsidP="00B207D0">
            <w:pPr>
              <w:jc w:val="center"/>
              <w:rPr>
                <w:rFonts w:ascii="Indivisa Text Sans" w:hAnsi="Indivisa Text Sans"/>
              </w:rPr>
            </w:pPr>
            <w:r w:rsidRPr="006A1B3A">
              <w:rPr>
                <w:rFonts w:ascii="Indivisa Text Sans" w:hAnsi="Indivisa Text Sans"/>
              </w:rPr>
              <w:t>24</w:t>
            </w:r>
          </w:p>
        </w:tc>
        <w:tc>
          <w:tcPr>
            <w:tcW w:w="1495" w:type="dxa"/>
          </w:tcPr>
          <w:p w14:paraId="6392B8C8" w14:textId="77777777" w:rsidR="00B207D0" w:rsidRPr="006A1B3A" w:rsidRDefault="00B207D0" w:rsidP="00B207D0">
            <w:pPr>
              <w:jc w:val="center"/>
              <w:rPr>
                <w:rFonts w:ascii="Indivisa Text Sans" w:hAnsi="Indivisa Text Sans"/>
              </w:rPr>
            </w:pPr>
            <w:r w:rsidRPr="006A1B3A">
              <w:rPr>
                <w:rFonts w:ascii="Indivisa Text Sans" w:hAnsi="Indivisa Text Sans"/>
              </w:rPr>
              <w:t>25</w:t>
            </w:r>
          </w:p>
        </w:tc>
        <w:tc>
          <w:tcPr>
            <w:tcW w:w="1495" w:type="dxa"/>
          </w:tcPr>
          <w:p w14:paraId="0EC7CDCA" w14:textId="77777777" w:rsidR="00B207D0" w:rsidRPr="006A1B3A" w:rsidRDefault="00B207D0" w:rsidP="00B207D0">
            <w:pPr>
              <w:jc w:val="center"/>
              <w:rPr>
                <w:rFonts w:ascii="Indivisa Text Sans" w:hAnsi="Indivisa Text Sans"/>
              </w:rPr>
            </w:pPr>
            <w:r>
              <w:rPr>
                <w:rFonts w:ascii="Indivisa Text Sans" w:hAnsi="Indivisa Text Sans"/>
              </w:rPr>
              <w:t>302</w:t>
            </w:r>
          </w:p>
        </w:tc>
        <w:tc>
          <w:tcPr>
            <w:tcW w:w="1495" w:type="dxa"/>
          </w:tcPr>
          <w:p w14:paraId="222E7EE6" w14:textId="77777777" w:rsidR="00B207D0" w:rsidRDefault="00B207D0" w:rsidP="00B207D0">
            <w:pPr>
              <w:jc w:val="center"/>
              <w:rPr>
                <w:rFonts w:ascii="Indivisa Text Sans" w:hAnsi="Indivisa Text Sans"/>
              </w:rPr>
            </w:pPr>
            <w:r>
              <w:rPr>
                <w:rFonts w:ascii="Indivisa Text Sans" w:hAnsi="Indivisa Text Sans"/>
              </w:rPr>
              <w:t>1267</w:t>
            </w:r>
          </w:p>
        </w:tc>
        <w:tc>
          <w:tcPr>
            <w:tcW w:w="1495" w:type="dxa"/>
          </w:tcPr>
          <w:p w14:paraId="6CC70017" w14:textId="77777777" w:rsidR="00B207D0" w:rsidRDefault="00B207D0" w:rsidP="00B207D0">
            <w:pPr>
              <w:jc w:val="center"/>
              <w:rPr>
                <w:rFonts w:ascii="Indivisa Text Sans" w:hAnsi="Indivisa Text Sans"/>
              </w:rPr>
            </w:pPr>
            <w:r>
              <w:rPr>
                <w:rFonts w:ascii="Indivisa Text Sans" w:hAnsi="Indivisa Text Sans"/>
              </w:rPr>
              <w:t>386</w:t>
            </w:r>
          </w:p>
        </w:tc>
      </w:tr>
      <w:tr w:rsidR="00B207D0" w:rsidRPr="006A1B3A" w14:paraId="4828879A" w14:textId="77777777" w:rsidTr="00B207D0">
        <w:trPr>
          <w:jc w:val="center"/>
        </w:trPr>
        <w:tc>
          <w:tcPr>
            <w:tcW w:w="1271" w:type="dxa"/>
          </w:tcPr>
          <w:p w14:paraId="303BD841" w14:textId="77777777" w:rsidR="00B207D0" w:rsidRPr="006A1B3A" w:rsidRDefault="00B207D0" w:rsidP="00B207D0">
            <w:pPr>
              <w:jc w:val="center"/>
              <w:rPr>
                <w:rFonts w:ascii="Indivisa Text Sans" w:hAnsi="Indivisa Text Sans"/>
              </w:rPr>
            </w:pPr>
            <w:r w:rsidRPr="006A1B3A">
              <w:rPr>
                <w:rFonts w:ascii="Indivisa Text Sans" w:hAnsi="Indivisa Text Sans"/>
              </w:rPr>
              <w:t>Privado</w:t>
            </w:r>
          </w:p>
        </w:tc>
        <w:tc>
          <w:tcPr>
            <w:tcW w:w="1418" w:type="dxa"/>
          </w:tcPr>
          <w:p w14:paraId="02E40963" w14:textId="77777777" w:rsidR="00B207D0" w:rsidRPr="006A1B3A" w:rsidRDefault="00B207D0" w:rsidP="00B207D0">
            <w:pPr>
              <w:jc w:val="center"/>
              <w:rPr>
                <w:rFonts w:ascii="Indivisa Text Sans" w:hAnsi="Indivisa Text Sans"/>
              </w:rPr>
            </w:pPr>
            <w:r w:rsidRPr="006A1B3A">
              <w:rPr>
                <w:rFonts w:ascii="Indivisa Text Sans" w:hAnsi="Indivisa Text Sans"/>
              </w:rPr>
              <w:t>5</w:t>
            </w:r>
          </w:p>
        </w:tc>
        <w:tc>
          <w:tcPr>
            <w:tcW w:w="1495" w:type="dxa"/>
          </w:tcPr>
          <w:p w14:paraId="0148D14B" w14:textId="77777777" w:rsidR="00B207D0" w:rsidRPr="006A1B3A" w:rsidRDefault="00B207D0" w:rsidP="00B207D0">
            <w:pPr>
              <w:jc w:val="center"/>
              <w:rPr>
                <w:rFonts w:ascii="Indivisa Text Sans" w:hAnsi="Indivisa Text Sans"/>
              </w:rPr>
            </w:pPr>
            <w:r w:rsidRPr="006A1B3A">
              <w:rPr>
                <w:rFonts w:ascii="Indivisa Text Sans" w:hAnsi="Indivisa Text Sans"/>
              </w:rPr>
              <w:t>5</w:t>
            </w:r>
          </w:p>
        </w:tc>
        <w:tc>
          <w:tcPr>
            <w:tcW w:w="1495" w:type="dxa"/>
          </w:tcPr>
          <w:p w14:paraId="6191D1CF" w14:textId="77777777" w:rsidR="00B207D0" w:rsidRPr="006A1B3A" w:rsidRDefault="00B207D0" w:rsidP="00B207D0">
            <w:pPr>
              <w:jc w:val="center"/>
              <w:rPr>
                <w:rFonts w:ascii="Indivisa Text Sans" w:hAnsi="Indivisa Text Sans"/>
              </w:rPr>
            </w:pPr>
            <w:r>
              <w:rPr>
                <w:rFonts w:ascii="Indivisa Text Sans" w:hAnsi="Indivisa Text Sans"/>
              </w:rPr>
              <w:t>48</w:t>
            </w:r>
          </w:p>
        </w:tc>
        <w:tc>
          <w:tcPr>
            <w:tcW w:w="1495" w:type="dxa"/>
          </w:tcPr>
          <w:p w14:paraId="322ADF71" w14:textId="77777777" w:rsidR="00B207D0" w:rsidRDefault="00B207D0" w:rsidP="00B207D0">
            <w:pPr>
              <w:jc w:val="center"/>
              <w:rPr>
                <w:rFonts w:ascii="Indivisa Text Sans" w:hAnsi="Indivisa Text Sans"/>
              </w:rPr>
            </w:pPr>
            <w:r>
              <w:rPr>
                <w:rFonts w:ascii="Indivisa Text Sans" w:hAnsi="Indivisa Text Sans"/>
              </w:rPr>
              <w:t>168</w:t>
            </w:r>
          </w:p>
        </w:tc>
        <w:tc>
          <w:tcPr>
            <w:tcW w:w="1495" w:type="dxa"/>
          </w:tcPr>
          <w:p w14:paraId="31CAB257" w14:textId="77777777" w:rsidR="00B207D0" w:rsidRDefault="00B207D0" w:rsidP="00B207D0">
            <w:pPr>
              <w:jc w:val="center"/>
              <w:rPr>
                <w:rFonts w:ascii="Indivisa Text Sans" w:hAnsi="Indivisa Text Sans"/>
              </w:rPr>
            </w:pPr>
            <w:r>
              <w:rPr>
                <w:rFonts w:ascii="Indivisa Text Sans" w:hAnsi="Indivisa Text Sans"/>
              </w:rPr>
              <w:t>56</w:t>
            </w:r>
          </w:p>
        </w:tc>
      </w:tr>
      <w:tr w:rsidR="00B207D0" w:rsidRPr="006A1B3A" w14:paraId="652345D4" w14:textId="77777777" w:rsidTr="00B207D0">
        <w:trPr>
          <w:jc w:val="center"/>
        </w:trPr>
        <w:tc>
          <w:tcPr>
            <w:tcW w:w="1271" w:type="dxa"/>
          </w:tcPr>
          <w:p w14:paraId="55E6EA2C" w14:textId="77777777" w:rsidR="00B207D0" w:rsidRPr="006A1B3A" w:rsidRDefault="00B207D0" w:rsidP="00B207D0">
            <w:pPr>
              <w:jc w:val="center"/>
              <w:rPr>
                <w:rFonts w:ascii="Indivisa Text Sans" w:hAnsi="Indivisa Text Sans"/>
                <w:b/>
              </w:rPr>
            </w:pPr>
            <w:r w:rsidRPr="006A1B3A">
              <w:rPr>
                <w:rFonts w:ascii="Indivisa Text Sans" w:hAnsi="Indivisa Text Sans"/>
                <w:b/>
              </w:rPr>
              <w:t>TOTAL</w:t>
            </w:r>
          </w:p>
        </w:tc>
        <w:tc>
          <w:tcPr>
            <w:tcW w:w="1418" w:type="dxa"/>
          </w:tcPr>
          <w:p w14:paraId="16B281EA" w14:textId="77777777" w:rsidR="00B207D0" w:rsidRPr="00BD6291" w:rsidRDefault="00B207D0" w:rsidP="00B207D0">
            <w:pPr>
              <w:jc w:val="center"/>
              <w:rPr>
                <w:rFonts w:ascii="Indivisa Text Sans" w:hAnsi="Indivisa Text Sans"/>
                <w:b/>
              </w:rPr>
            </w:pPr>
            <w:r w:rsidRPr="00BD6291">
              <w:rPr>
                <w:rFonts w:ascii="Indivisa Text Sans" w:hAnsi="Indivisa Text Sans"/>
                <w:b/>
              </w:rPr>
              <w:t>29</w:t>
            </w:r>
          </w:p>
        </w:tc>
        <w:tc>
          <w:tcPr>
            <w:tcW w:w="1495" w:type="dxa"/>
          </w:tcPr>
          <w:p w14:paraId="592E9F02" w14:textId="77777777" w:rsidR="00B207D0" w:rsidRPr="00BD6291" w:rsidRDefault="00B207D0" w:rsidP="00B207D0">
            <w:pPr>
              <w:jc w:val="center"/>
              <w:rPr>
                <w:rFonts w:ascii="Indivisa Text Sans" w:hAnsi="Indivisa Text Sans"/>
                <w:b/>
              </w:rPr>
            </w:pPr>
            <w:r w:rsidRPr="00BD6291">
              <w:rPr>
                <w:rFonts w:ascii="Indivisa Text Sans" w:hAnsi="Indivisa Text Sans"/>
                <w:b/>
              </w:rPr>
              <w:t>30</w:t>
            </w:r>
          </w:p>
        </w:tc>
        <w:tc>
          <w:tcPr>
            <w:tcW w:w="1495" w:type="dxa"/>
          </w:tcPr>
          <w:p w14:paraId="6C9707FC" w14:textId="77777777" w:rsidR="00B207D0" w:rsidRPr="00BD6291" w:rsidRDefault="00B207D0" w:rsidP="00B207D0">
            <w:pPr>
              <w:jc w:val="center"/>
              <w:rPr>
                <w:rFonts w:ascii="Indivisa Text Sans" w:hAnsi="Indivisa Text Sans"/>
                <w:b/>
              </w:rPr>
            </w:pPr>
            <w:r>
              <w:rPr>
                <w:rFonts w:ascii="Indivisa Text Sans" w:hAnsi="Indivisa Text Sans"/>
                <w:b/>
              </w:rPr>
              <w:t>350</w:t>
            </w:r>
          </w:p>
        </w:tc>
        <w:tc>
          <w:tcPr>
            <w:tcW w:w="1495" w:type="dxa"/>
          </w:tcPr>
          <w:p w14:paraId="791A3CD7" w14:textId="77777777" w:rsidR="00B207D0" w:rsidRDefault="00B207D0" w:rsidP="00B207D0">
            <w:pPr>
              <w:jc w:val="center"/>
              <w:rPr>
                <w:rFonts w:ascii="Indivisa Text Sans" w:hAnsi="Indivisa Text Sans"/>
                <w:b/>
              </w:rPr>
            </w:pPr>
            <w:r>
              <w:rPr>
                <w:rFonts w:ascii="Indivisa Text Sans" w:hAnsi="Indivisa Text Sans"/>
                <w:b/>
              </w:rPr>
              <w:t>1435</w:t>
            </w:r>
          </w:p>
        </w:tc>
        <w:tc>
          <w:tcPr>
            <w:tcW w:w="1495" w:type="dxa"/>
          </w:tcPr>
          <w:p w14:paraId="7E9CEC54" w14:textId="77777777" w:rsidR="00B207D0" w:rsidRDefault="00B207D0" w:rsidP="00B207D0">
            <w:pPr>
              <w:jc w:val="center"/>
              <w:rPr>
                <w:rFonts w:ascii="Indivisa Text Sans" w:hAnsi="Indivisa Text Sans"/>
                <w:b/>
              </w:rPr>
            </w:pPr>
            <w:r>
              <w:rPr>
                <w:rFonts w:ascii="Indivisa Text Sans" w:hAnsi="Indivisa Text Sans"/>
                <w:b/>
              </w:rPr>
              <w:t>442</w:t>
            </w:r>
          </w:p>
        </w:tc>
      </w:tr>
    </w:tbl>
    <w:p w14:paraId="153AC4D6" w14:textId="77777777" w:rsidR="00B207D0" w:rsidRPr="007C0B53" w:rsidRDefault="00B207D0" w:rsidP="00B207D0">
      <w:pPr>
        <w:jc w:val="center"/>
        <w:rPr>
          <w:rFonts w:ascii="Arial" w:hAnsi="Arial" w:cs="Arial"/>
          <w:spacing w:val="-4"/>
          <w:sz w:val="18"/>
          <w:szCs w:val="18"/>
        </w:rPr>
      </w:pPr>
      <w:r w:rsidRPr="00FF317B">
        <w:rPr>
          <w:rFonts w:ascii="Arial" w:hAnsi="Arial" w:cs="Arial"/>
          <w:b/>
          <w:spacing w:val="-4"/>
          <w:sz w:val="18"/>
          <w:szCs w:val="18"/>
        </w:rPr>
        <w:t>Fuente</w:t>
      </w:r>
      <w:r w:rsidRPr="007C0B53">
        <w:rPr>
          <w:rFonts w:ascii="Arial" w:hAnsi="Arial" w:cs="Arial"/>
          <w:spacing w:val="-4"/>
          <w:sz w:val="18"/>
          <w:szCs w:val="18"/>
        </w:rPr>
        <w:t>: Elaboración propia con base en ANUIES 2018. Nota: En la elaboración de la tabla se excluyeron los datos de la UNAM, dado que la institución no presenta la información desagregada por especialidad.</w:t>
      </w:r>
    </w:p>
    <w:p w14:paraId="0A9E1206" w14:textId="77777777" w:rsidR="00B207D0" w:rsidRPr="00642DED" w:rsidRDefault="00B207D0" w:rsidP="00B207D0">
      <w:pPr>
        <w:jc w:val="both"/>
        <w:rPr>
          <w:rFonts w:ascii="Arial" w:hAnsi="Arial" w:cs="Arial"/>
        </w:rPr>
      </w:pPr>
      <w:r w:rsidRPr="00642DED">
        <w:rPr>
          <w:rFonts w:ascii="Arial" w:hAnsi="Arial" w:cs="Arial"/>
        </w:rPr>
        <w:t>-</w:t>
      </w:r>
      <w:r w:rsidRPr="00642DED">
        <w:rPr>
          <w:rFonts w:ascii="Arial" w:hAnsi="Arial" w:cs="Arial"/>
          <w:i/>
        </w:rPr>
        <w:t>Especialidad en Anestesiología en IES Privadas</w:t>
      </w:r>
    </w:p>
    <w:p w14:paraId="6D262035" w14:textId="77777777" w:rsidR="00B207D0" w:rsidRPr="00642DED" w:rsidRDefault="00B207D0" w:rsidP="007C0B53">
      <w:pPr>
        <w:spacing w:line="360" w:lineRule="auto"/>
        <w:jc w:val="both"/>
        <w:rPr>
          <w:rFonts w:ascii="Arial" w:hAnsi="Arial" w:cs="Arial"/>
        </w:rPr>
      </w:pPr>
      <w:r w:rsidRPr="00642DED">
        <w:rPr>
          <w:rFonts w:ascii="Arial" w:hAnsi="Arial" w:cs="Arial"/>
        </w:rPr>
        <w:t xml:space="preserve">Es importante conocer la oferta académica nacional de la Especialidad contemplando ambos sectores, sin embargo, para fines del proyecto de actualización de la Especialidad en Anestesiología el presente apartado se enfocará en la oferta de las IES privadas que puedan servir como referente para la Universidad. </w:t>
      </w:r>
    </w:p>
    <w:p w14:paraId="6AAE7BA6" w14:textId="77777777" w:rsidR="00B207D0" w:rsidRPr="00642DED" w:rsidRDefault="00B207D0" w:rsidP="007C0B53">
      <w:pPr>
        <w:spacing w:line="360" w:lineRule="auto"/>
        <w:jc w:val="both"/>
        <w:rPr>
          <w:rFonts w:ascii="Arial" w:hAnsi="Arial" w:cs="Arial"/>
        </w:rPr>
      </w:pPr>
      <w:r w:rsidRPr="00642DED">
        <w:rPr>
          <w:rFonts w:ascii="Arial" w:hAnsi="Arial" w:cs="Arial"/>
        </w:rPr>
        <w:t>Las universidades que, de acuerdo con ANUIES-2018, ofertan la especialidad son cinco cada una con un programa (Tabla 3).</w:t>
      </w:r>
    </w:p>
    <w:p w14:paraId="42CA8CCF" w14:textId="77777777" w:rsidR="00B207D0" w:rsidRPr="00642DED" w:rsidRDefault="00B207D0" w:rsidP="00B207D0">
      <w:pPr>
        <w:jc w:val="center"/>
        <w:rPr>
          <w:rFonts w:ascii="Arial" w:hAnsi="Arial" w:cs="Arial"/>
          <w:b/>
        </w:rPr>
      </w:pPr>
      <w:r w:rsidRPr="00642DED">
        <w:rPr>
          <w:rFonts w:ascii="Arial" w:hAnsi="Arial" w:cs="Arial"/>
          <w:b/>
        </w:rPr>
        <w:t>Tabla 3. IES privadas que Ofertan Programas de Especialidad en Anestesiología.</w:t>
      </w:r>
    </w:p>
    <w:tbl>
      <w:tblPr>
        <w:tblStyle w:val="Tablaconcuadrcula"/>
        <w:tblW w:w="0" w:type="auto"/>
        <w:tblInd w:w="614" w:type="dxa"/>
        <w:tblLook w:val="04A0" w:firstRow="1" w:lastRow="0" w:firstColumn="1" w:lastColumn="0" w:noHBand="0" w:noVBand="1"/>
      </w:tblPr>
      <w:tblGrid>
        <w:gridCol w:w="4089"/>
        <w:gridCol w:w="2116"/>
        <w:gridCol w:w="2009"/>
      </w:tblGrid>
      <w:tr w:rsidR="00B207D0" w14:paraId="1A155C7F" w14:textId="77777777" w:rsidTr="00B207D0">
        <w:tc>
          <w:tcPr>
            <w:tcW w:w="4484" w:type="dxa"/>
            <w:shd w:val="clear" w:color="auto" w:fill="2F5496" w:themeFill="accent5" w:themeFillShade="BF"/>
          </w:tcPr>
          <w:p w14:paraId="6F88C48D"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IES</w:t>
            </w:r>
          </w:p>
        </w:tc>
        <w:tc>
          <w:tcPr>
            <w:tcW w:w="2268" w:type="dxa"/>
            <w:shd w:val="clear" w:color="auto" w:fill="2F5496" w:themeFill="accent5" w:themeFillShade="BF"/>
          </w:tcPr>
          <w:p w14:paraId="6CE94FE1"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ESTADO</w:t>
            </w:r>
          </w:p>
        </w:tc>
        <w:tc>
          <w:tcPr>
            <w:tcW w:w="2076" w:type="dxa"/>
            <w:shd w:val="clear" w:color="auto" w:fill="2F5496" w:themeFill="accent5" w:themeFillShade="BF"/>
          </w:tcPr>
          <w:p w14:paraId="4DAA51EA"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PROGRAMAS</w:t>
            </w:r>
          </w:p>
        </w:tc>
      </w:tr>
      <w:tr w:rsidR="00B207D0" w14:paraId="5CAD7EBC" w14:textId="77777777" w:rsidTr="00B207D0">
        <w:tc>
          <w:tcPr>
            <w:tcW w:w="4484" w:type="dxa"/>
          </w:tcPr>
          <w:p w14:paraId="408A297C"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Universidad La Salle</w:t>
            </w:r>
          </w:p>
        </w:tc>
        <w:tc>
          <w:tcPr>
            <w:tcW w:w="2268" w:type="dxa"/>
            <w:vAlign w:val="center"/>
          </w:tcPr>
          <w:p w14:paraId="0F66607A"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Ciudad de México</w:t>
            </w:r>
          </w:p>
        </w:tc>
        <w:tc>
          <w:tcPr>
            <w:tcW w:w="2076" w:type="dxa"/>
            <w:vAlign w:val="center"/>
          </w:tcPr>
          <w:p w14:paraId="658FE768" w14:textId="77777777" w:rsidR="00B207D0" w:rsidRPr="00642DED" w:rsidRDefault="00B207D0" w:rsidP="00B207D0">
            <w:pPr>
              <w:rPr>
                <w:rFonts w:ascii="Arial" w:hAnsi="Arial" w:cs="Arial"/>
                <w:sz w:val="20"/>
                <w:szCs w:val="20"/>
              </w:rPr>
            </w:pPr>
            <w:r w:rsidRPr="00642DED">
              <w:rPr>
                <w:rFonts w:ascii="Arial" w:hAnsi="Arial" w:cs="Arial"/>
                <w:sz w:val="20"/>
                <w:szCs w:val="20"/>
              </w:rPr>
              <w:t>- Anestesiología</w:t>
            </w:r>
          </w:p>
        </w:tc>
      </w:tr>
      <w:tr w:rsidR="00B207D0" w14:paraId="0F86C384" w14:textId="77777777" w:rsidTr="00B207D0">
        <w:tc>
          <w:tcPr>
            <w:tcW w:w="4484" w:type="dxa"/>
          </w:tcPr>
          <w:p w14:paraId="06E3D91A"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Universidad Autónoma de Guadalajara</w:t>
            </w:r>
          </w:p>
        </w:tc>
        <w:tc>
          <w:tcPr>
            <w:tcW w:w="2268" w:type="dxa"/>
            <w:vAlign w:val="center"/>
          </w:tcPr>
          <w:p w14:paraId="6E0C7603"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Jalisco</w:t>
            </w:r>
          </w:p>
        </w:tc>
        <w:tc>
          <w:tcPr>
            <w:tcW w:w="2076" w:type="dxa"/>
            <w:vAlign w:val="center"/>
          </w:tcPr>
          <w:p w14:paraId="6F183A70" w14:textId="77777777" w:rsidR="00B207D0" w:rsidRPr="00642DED" w:rsidRDefault="00B207D0" w:rsidP="00B207D0">
            <w:pPr>
              <w:rPr>
                <w:rFonts w:ascii="Arial" w:hAnsi="Arial" w:cs="Arial"/>
                <w:sz w:val="20"/>
                <w:szCs w:val="20"/>
              </w:rPr>
            </w:pPr>
            <w:r w:rsidRPr="00642DED">
              <w:rPr>
                <w:rFonts w:ascii="Arial" w:hAnsi="Arial" w:cs="Arial"/>
                <w:sz w:val="20"/>
                <w:szCs w:val="20"/>
              </w:rPr>
              <w:t>- Anestesiología</w:t>
            </w:r>
          </w:p>
        </w:tc>
      </w:tr>
      <w:tr w:rsidR="00B207D0" w14:paraId="2D4493FE" w14:textId="77777777" w:rsidTr="00B207D0">
        <w:tc>
          <w:tcPr>
            <w:tcW w:w="4484" w:type="dxa"/>
          </w:tcPr>
          <w:p w14:paraId="400756ED" w14:textId="77777777" w:rsidR="00B207D0" w:rsidRPr="00642DED" w:rsidRDefault="00B207D0" w:rsidP="00B207D0">
            <w:pPr>
              <w:jc w:val="both"/>
              <w:rPr>
                <w:rFonts w:ascii="Arial" w:hAnsi="Arial" w:cs="Arial"/>
                <w:spacing w:val="-2"/>
                <w:sz w:val="20"/>
                <w:szCs w:val="20"/>
              </w:rPr>
            </w:pPr>
            <w:r w:rsidRPr="00642DED">
              <w:rPr>
                <w:rFonts w:ascii="Arial" w:hAnsi="Arial" w:cs="Arial"/>
                <w:spacing w:val="-2"/>
                <w:sz w:val="20"/>
                <w:szCs w:val="20"/>
              </w:rPr>
              <w:t>Instituto Tecnológico y de Estudios Superiores de Monterrey</w:t>
            </w:r>
          </w:p>
        </w:tc>
        <w:tc>
          <w:tcPr>
            <w:tcW w:w="2268" w:type="dxa"/>
            <w:vAlign w:val="center"/>
          </w:tcPr>
          <w:p w14:paraId="749E8FDF"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Nuevo León</w:t>
            </w:r>
          </w:p>
        </w:tc>
        <w:tc>
          <w:tcPr>
            <w:tcW w:w="2076" w:type="dxa"/>
            <w:vAlign w:val="center"/>
          </w:tcPr>
          <w:p w14:paraId="02024CAF" w14:textId="77777777" w:rsidR="00B207D0" w:rsidRPr="00642DED" w:rsidRDefault="00B207D0" w:rsidP="00B207D0">
            <w:pPr>
              <w:rPr>
                <w:rFonts w:ascii="Arial" w:hAnsi="Arial" w:cs="Arial"/>
                <w:sz w:val="20"/>
                <w:szCs w:val="20"/>
              </w:rPr>
            </w:pPr>
            <w:r w:rsidRPr="00642DED">
              <w:rPr>
                <w:rFonts w:ascii="Arial" w:hAnsi="Arial" w:cs="Arial"/>
                <w:sz w:val="20"/>
                <w:szCs w:val="20"/>
              </w:rPr>
              <w:t>- Anestesiología</w:t>
            </w:r>
          </w:p>
        </w:tc>
      </w:tr>
      <w:tr w:rsidR="00B207D0" w14:paraId="0EB83D9F" w14:textId="77777777" w:rsidTr="00B207D0">
        <w:tc>
          <w:tcPr>
            <w:tcW w:w="4484" w:type="dxa"/>
            <w:vAlign w:val="center"/>
          </w:tcPr>
          <w:p w14:paraId="3AEE3684" w14:textId="77777777" w:rsidR="00B207D0" w:rsidRPr="00642DED" w:rsidRDefault="00B207D0" w:rsidP="00B207D0">
            <w:pPr>
              <w:rPr>
                <w:rFonts w:ascii="Arial" w:hAnsi="Arial" w:cs="Arial"/>
                <w:sz w:val="20"/>
                <w:szCs w:val="20"/>
              </w:rPr>
            </w:pPr>
            <w:r w:rsidRPr="00642DED">
              <w:rPr>
                <w:rFonts w:ascii="Arial" w:hAnsi="Arial" w:cs="Arial"/>
                <w:sz w:val="20"/>
                <w:szCs w:val="20"/>
              </w:rPr>
              <w:t>Universidad de Monterrey</w:t>
            </w:r>
          </w:p>
        </w:tc>
        <w:tc>
          <w:tcPr>
            <w:tcW w:w="2268" w:type="dxa"/>
            <w:vAlign w:val="center"/>
          </w:tcPr>
          <w:p w14:paraId="5FAE3C1E"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Nuevo León</w:t>
            </w:r>
          </w:p>
        </w:tc>
        <w:tc>
          <w:tcPr>
            <w:tcW w:w="2076" w:type="dxa"/>
            <w:vAlign w:val="center"/>
          </w:tcPr>
          <w:p w14:paraId="3A4546C1" w14:textId="77777777" w:rsidR="00B207D0" w:rsidRPr="00642DED" w:rsidRDefault="00B207D0" w:rsidP="00B207D0">
            <w:pPr>
              <w:rPr>
                <w:rFonts w:ascii="Arial" w:hAnsi="Arial" w:cs="Arial"/>
                <w:sz w:val="20"/>
                <w:szCs w:val="20"/>
              </w:rPr>
            </w:pPr>
            <w:r w:rsidRPr="00642DED">
              <w:rPr>
                <w:rFonts w:ascii="Arial" w:hAnsi="Arial" w:cs="Arial"/>
                <w:sz w:val="20"/>
                <w:szCs w:val="20"/>
              </w:rPr>
              <w:t>- Anestesiología</w:t>
            </w:r>
          </w:p>
        </w:tc>
      </w:tr>
      <w:tr w:rsidR="00B207D0" w14:paraId="712A6B93" w14:textId="77777777" w:rsidTr="00B207D0">
        <w:tc>
          <w:tcPr>
            <w:tcW w:w="4484" w:type="dxa"/>
            <w:vAlign w:val="center"/>
          </w:tcPr>
          <w:p w14:paraId="4D20B8A1" w14:textId="77777777" w:rsidR="00B207D0" w:rsidRPr="00642DED" w:rsidRDefault="00B207D0" w:rsidP="00B207D0">
            <w:pPr>
              <w:rPr>
                <w:rFonts w:ascii="Arial" w:hAnsi="Arial" w:cs="Arial"/>
                <w:sz w:val="20"/>
                <w:szCs w:val="20"/>
              </w:rPr>
            </w:pPr>
            <w:r w:rsidRPr="00642DED">
              <w:rPr>
                <w:rFonts w:ascii="Arial" w:hAnsi="Arial" w:cs="Arial"/>
                <w:sz w:val="20"/>
                <w:szCs w:val="20"/>
              </w:rPr>
              <w:t>Universidad Popular Autónoma del Estado de Puebla</w:t>
            </w:r>
          </w:p>
        </w:tc>
        <w:tc>
          <w:tcPr>
            <w:tcW w:w="2268" w:type="dxa"/>
            <w:vAlign w:val="center"/>
          </w:tcPr>
          <w:p w14:paraId="7B57D758"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Puebla</w:t>
            </w:r>
          </w:p>
        </w:tc>
        <w:tc>
          <w:tcPr>
            <w:tcW w:w="2076" w:type="dxa"/>
            <w:vAlign w:val="center"/>
          </w:tcPr>
          <w:p w14:paraId="73ED4985" w14:textId="77777777" w:rsidR="00B207D0" w:rsidRPr="00642DED" w:rsidRDefault="00B207D0" w:rsidP="00B207D0">
            <w:pPr>
              <w:rPr>
                <w:rFonts w:ascii="Arial" w:hAnsi="Arial" w:cs="Arial"/>
                <w:sz w:val="20"/>
                <w:szCs w:val="20"/>
              </w:rPr>
            </w:pPr>
            <w:r w:rsidRPr="00642DED">
              <w:rPr>
                <w:rFonts w:ascii="Arial" w:hAnsi="Arial" w:cs="Arial"/>
                <w:sz w:val="20"/>
                <w:szCs w:val="20"/>
              </w:rPr>
              <w:t>- Anestesiología</w:t>
            </w:r>
          </w:p>
        </w:tc>
      </w:tr>
    </w:tbl>
    <w:p w14:paraId="036DD4C7" w14:textId="77777777" w:rsidR="00B207D0" w:rsidRPr="00642DED" w:rsidRDefault="00B207D0" w:rsidP="00B207D0">
      <w:pPr>
        <w:jc w:val="center"/>
        <w:rPr>
          <w:rFonts w:ascii="Arial" w:hAnsi="Arial" w:cs="Arial"/>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ANUIES 2018.</w:t>
      </w:r>
    </w:p>
    <w:p w14:paraId="39907977" w14:textId="77777777" w:rsidR="00B207D0" w:rsidRPr="00642DED" w:rsidRDefault="00B207D0" w:rsidP="007C0B53">
      <w:pPr>
        <w:spacing w:line="360" w:lineRule="auto"/>
        <w:jc w:val="both"/>
        <w:rPr>
          <w:rFonts w:ascii="Arial" w:hAnsi="Arial" w:cs="Arial"/>
        </w:rPr>
      </w:pPr>
      <w:r w:rsidRPr="00642DED">
        <w:rPr>
          <w:rFonts w:ascii="Arial" w:hAnsi="Arial" w:cs="Arial"/>
        </w:rPr>
        <w:lastRenderedPageBreak/>
        <w:t xml:space="preserve">Como puede observarse en la Tabla 3, en la Zona Metropolitana de la Ciudad de México, la única institución del sector privado que oferta la Especialidad en Anestesiología es la Universidad La Salle- México. </w:t>
      </w:r>
    </w:p>
    <w:p w14:paraId="7690AE42" w14:textId="32CEC7F3" w:rsidR="00B207D0" w:rsidRPr="00642DED" w:rsidRDefault="00B207D0" w:rsidP="007C0B53">
      <w:pPr>
        <w:spacing w:line="360" w:lineRule="auto"/>
        <w:jc w:val="both"/>
        <w:rPr>
          <w:rFonts w:ascii="Arial" w:hAnsi="Arial" w:cs="Arial"/>
        </w:rPr>
      </w:pPr>
      <w:r w:rsidRPr="00642DED">
        <w:rPr>
          <w:rFonts w:ascii="Arial" w:hAnsi="Arial" w:cs="Arial"/>
        </w:rPr>
        <w:t xml:space="preserve">Por otra parte, con la finalidad de investigar el comportamiento del programa en las IES privadas, se recurrió al estudio de la evolución de tres indicadores: el ingreso, la matrícula y egreso, en los últimos cinco años (2014-2018). La </w:t>
      </w:r>
      <w:r w:rsidRPr="00F75DA8">
        <w:rPr>
          <w:rFonts w:ascii="Arial" w:hAnsi="Arial" w:cs="Arial"/>
        </w:rPr>
        <w:t>Gráfica 1</w:t>
      </w:r>
      <w:r w:rsidR="00F260F1" w:rsidRPr="00F75DA8">
        <w:rPr>
          <w:rFonts w:ascii="Arial" w:hAnsi="Arial" w:cs="Arial"/>
        </w:rPr>
        <w:t>5</w:t>
      </w:r>
      <w:r w:rsidRPr="00642DED">
        <w:rPr>
          <w:rFonts w:ascii="Arial" w:hAnsi="Arial" w:cs="Arial"/>
        </w:rPr>
        <w:t xml:space="preserve"> muestra el comportamiento de los tres indicadores de 2014 a 2018, como puede verse en 2015, en el ingreso se observa un ligero decremento, posteriormente su crecimiento se muestra moderado; en el caso de la matrícula, se observa un crecimiento moderado y sostenido, con un mayor aumento entre 2015 y 2016. Finalmente, en el egreso se puede observar un incremento moderado, con mayor incremento entre 2014 y 2015.</w:t>
      </w:r>
    </w:p>
    <w:p w14:paraId="3BACBD5C" w14:textId="6E1B9B08" w:rsidR="00B207D0" w:rsidRPr="00642DED" w:rsidRDefault="00B207D0" w:rsidP="00B207D0">
      <w:pPr>
        <w:jc w:val="center"/>
        <w:rPr>
          <w:rFonts w:ascii="Arial" w:hAnsi="Arial" w:cs="Arial"/>
          <w:b/>
        </w:rPr>
      </w:pPr>
      <w:r w:rsidRPr="00642DED">
        <w:rPr>
          <w:rFonts w:ascii="Arial" w:hAnsi="Arial" w:cs="Arial"/>
          <w:b/>
        </w:rPr>
        <w:t xml:space="preserve">Gráfica </w:t>
      </w:r>
      <w:r w:rsidRPr="006054B0">
        <w:rPr>
          <w:rFonts w:ascii="Arial" w:hAnsi="Arial" w:cs="Arial"/>
          <w:b/>
        </w:rPr>
        <w:t>1</w:t>
      </w:r>
      <w:r w:rsidR="00F75DA8">
        <w:rPr>
          <w:rFonts w:ascii="Arial" w:hAnsi="Arial" w:cs="Arial"/>
          <w:b/>
        </w:rPr>
        <w:t>5</w:t>
      </w:r>
      <w:r w:rsidRPr="00642DED">
        <w:rPr>
          <w:rFonts w:ascii="Arial" w:hAnsi="Arial" w:cs="Arial"/>
          <w:b/>
        </w:rPr>
        <w:t>. Evolu</w:t>
      </w:r>
      <w:r w:rsidRPr="00642DED">
        <w:rPr>
          <w:rFonts w:ascii="Arial" w:hAnsi="Arial" w:cs="Arial"/>
          <w:b/>
          <w:bCs/>
        </w:rPr>
        <w:t xml:space="preserve">ción del Ingreso, Matrícula y Egreso de Instituciones "PRIVADAS" </w:t>
      </w:r>
      <w:r w:rsidRPr="009026BB">
        <w:rPr>
          <w:rFonts w:ascii="Arial" w:hAnsi="Arial" w:cs="Arial"/>
          <w:b/>
          <w:bCs/>
          <w:spacing w:val="-6"/>
        </w:rPr>
        <w:t>que Ofertan la Especialidad en Anestesiología a Nivel Nacional en el Periodo 2014 – 2018.</w:t>
      </w:r>
    </w:p>
    <w:p w14:paraId="6CE93D6C" w14:textId="77777777" w:rsidR="00B207D0" w:rsidRDefault="00B207D0" w:rsidP="00B207D0">
      <w:pPr>
        <w:jc w:val="center"/>
        <w:rPr>
          <w:rFonts w:ascii="Indivisa Text Sans" w:hAnsi="Indivisa Text Sans"/>
        </w:rPr>
      </w:pPr>
      <w:r w:rsidRPr="006A1B3A">
        <w:rPr>
          <w:rFonts w:ascii="Indivisa Text Sans" w:hAnsi="Indivisa Text Sans"/>
          <w:noProof/>
          <w:lang w:eastAsia="es-MX"/>
        </w:rPr>
        <w:drawing>
          <wp:inline distT="0" distB="0" distL="0" distR="0" wp14:anchorId="6ADC3C3C" wp14:editId="1DFFBE2A">
            <wp:extent cx="5178056" cy="2977116"/>
            <wp:effectExtent l="0" t="0" r="3810" b="13970"/>
            <wp:docPr id="40" name="Gráfico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Pr>
          <w:rFonts w:ascii="Indivisa Text Sans" w:hAnsi="Indivisa Text Sans"/>
        </w:rPr>
        <w:t xml:space="preserve"> </w:t>
      </w:r>
    </w:p>
    <w:p w14:paraId="4AE6519E" w14:textId="77777777" w:rsidR="00B207D0" w:rsidRPr="00642DED" w:rsidRDefault="00B207D0" w:rsidP="00B207D0">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ANUIES 2014-2018.</w:t>
      </w:r>
    </w:p>
    <w:p w14:paraId="00D5FE22" w14:textId="15E21FFA" w:rsidR="00B207D0" w:rsidRDefault="00B207D0" w:rsidP="009026BB">
      <w:pPr>
        <w:spacing w:line="360" w:lineRule="auto"/>
        <w:jc w:val="both"/>
        <w:rPr>
          <w:rFonts w:ascii="Arial" w:hAnsi="Arial" w:cs="Arial"/>
        </w:rPr>
      </w:pPr>
      <w:r w:rsidRPr="00642DED">
        <w:rPr>
          <w:rFonts w:ascii="Arial" w:hAnsi="Arial" w:cs="Arial"/>
        </w:rPr>
        <w:t>Otro aspecto que brinda información acerca del comportamiento de la especialidad es la tasa de crecimiento en el ingreso, matrícula y egreso. Entre 2014 y 2018, las tasas de crecimiento promedio anual mostraron cifras positivas, que a su vez nos indican un crecimiento que se antepone al decremento, siendo la tasa de egreso la que mostró un porcentaje más elevado, sobre el</w:t>
      </w:r>
      <w:r w:rsidR="004905C4">
        <w:rPr>
          <w:rFonts w:ascii="Arial" w:hAnsi="Arial" w:cs="Arial"/>
        </w:rPr>
        <w:t xml:space="preserve"> ingreso y la matrícula (Tabla 4</w:t>
      </w:r>
      <w:r w:rsidRPr="00642DED">
        <w:rPr>
          <w:rFonts w:ascii="Arial" w:hAnsi="Arial" w:cs="Arial"/>
        </w:rPr>
        <w:t>).</w:t>
      </w:r>
    </w:p>
    <w:p w14:paraId="349100B6" w14:textId="77777777" w:rsidR="004905C4" w:rsidRDefault="004905C4" w:rsidP="009026BB">
      <w:pPr>
        <w:spacing w:line="360" w:lineRule="auto"/>
        <w:jc w:val="both"/>
        <w:rPr>
          <w:rFonts w:ascii="Arial" w:hAnsi="Arial" w:cs="Arial"/>
        </w:rPr>
      </w:pPr>
    </w:p>
    <w:p w14:paraId="2C8308C3" w14:textId="79CD622E" w:rsidR="00B207D0" w:rsidRPr="009026BB" w:rsidRDefault="004905C4" w:rsidP="00B207D0">
      <w:pPr>
        <w:jc w:val="center"/>
        <w:rPr>
          <w:rFonts w:ascii="Arial" w:hAnsi="Arial" w:cs="Arial"/>
          <w:b/>
          <w:spacing w:val="-14"/>
        </w:rPr>
      </w:pPr>
      <w:r>
        <w:rPr>
          <w:rFonts w:ascii="Arial" w:hAnsi="Arial" w:cs="Arial"/>
          <w:b/>
          <w:spacing w:val="-14"/>
        </w:rPr>
        <w:lastRenderedPageBreak/>
        <w:t>Tabla 4</w:t>
      </w:r>
      <w:r w:rsidR="00B207D0" w:rsidRPr="009026BB">
        <w:rPr>
          <w:rFonts w:ascii="Arial" w:hAnsi="Arial" w:cs="Arial"/>
          <w:b/>
          <w:spacing w:val="-14"/>
        </w:rPr>
        <w:t>. Tasas de Crecimiento Promedio Anual del Ingreso, Matrícula y Egreso de 2014 a 2018.</w:t>
      </w:r>
    </w:p>
    <w:tbl>
      <w:tblPr>
        <w:tblStyle w:val="Tablaconcuadrcula"/>
        <w:tblW w:w="0" w:type="auto"/>
        <w:jc w:val="center"/>
        <w:tblLook w:val="04A0" w:firstRow="1" w:lastRow="0" w:firstColumn="1" w:lastColumn="0" w:noHBand="0" w:noVBand="1"/>
      </w:tblPr>
      <w:tblGrid>
        <w:gridCol w:w="1696"/>
        <w:gridCol w:w="3828"/>
      </w:tblGrid>
      <w:tr w:rsidR="00B207D0" w:rsidRPr="006A1B3A" w14:paraId="2F0D8852" w14:textId="77777777" w:rsidTr="00B207D0">
        <w:trPr>
          <w:jc w:val="center"/>
        </w:trPr>
        <w:tc>
          <w:tcPr>
            <w:tcW w:w="1696" w:type="dxa"/>
            <w:shd w:val="clear" w:color="auto" w:fill="2F5496" w:themeFill="accent5" w:themeFillShade="BF"/>
            <w:vAlign w:val="center"/>
          </w:tcPr>
          <w:p w14:paraId="39F3F356"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Indicador</w:t>
            </w:r>
          </w:p>
        </w:tc>
        <w:tc>
          <w:tcPr>
            <w:tcW w:w="3828" w:type="dxa"/>
            <w:shd w:val="clear" w:color="auto" w:fill="2F5496" w:themeFill="accent5" w:themeFillShade="BF"/>
            <w:vAlign w:val="center"/>
          </w:tcPr>
          <w:p w14:paraId="5ECB0F0F" w14:textId="77777777" w:rsidR="00B207D0" w:rsidRPr="00642DED" w:rsidRDefault="00B207D0" w:rsidP="00B207D0">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Tasa de Crecimiento Promedio</w:t>
            </w:r>
          </w:p>
        </w:tc>
      </w:tr>
      <w:tr w:rsidR="00B207D0" w:rsidRPr="006A1B3A" w14:paraId="413C2E4D" w14:textId="77777777" w:rsidTr="00B207D0">
        <w:trPr>
          <w:jc w:val="center"/>
        </w:trPr>
        <w:tc>
          <w:tcPr>
            <w:tcW w:w="1696" w:type="dxa"/>
          </w:tcPr>
          <w:p w14:paraId="35336B69"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Ingreso</w:t>
            </w:r>
          </w:p>
        </w:tc>
        <w:tc>
          <w:tcPr>
            <w:tcW w:w="3828" w:type="dxa"/>
          </w:tcPr>
          <w:p w14:paraId="10AC68C6"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7.65%</w:t>
            </w:r>
          </w:p>
        </w:tc>
      </w:tr>
      <w:tr w:rsidR="00B207D0" w:rsidRPr="006A1B3A" w14:paraId="2548134A" w14:textId="77777777" w:rsidTr="00B207D0">
        <w:trPr>
          <w:jc w:val="center"/>
        </w:trPr>
        <w:tc>
          <w:tcPr>
            <w:tcW w:w="1696" w:type="dxa"/>
          </w:tcPr>
          <w:p w14:paraId="3CC9068E"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Matrícula</w:t>
            </w:r>
          </w:p>
        </w:tc>
        <w:tc>
          <w:tcPr>
            <w:tcW w:w="3828" w:type="dxa"/>
          </w:tcPr>
          <w:p w14:paraId="070D537A"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6.70%</w:t>
            </w:r>
          </w:p>
        </w:tc>
      </w:tr>
      <w:tr w:rsidR="00B207D0" w:rsidRPr="006A1B3A" w14:paraId="7F346F9C" w14:textId="77777777" w:rsidTr="00B207D0">
        <w:trPr>
          <w:jc w:val="center"/>
        </w:trPr>
        <w:tc>
          <w:tcPr>
            <w:tcW w:w="1696" w:type="dxa"/>
          </w:tcPr>
          <w:p w14:paraId="5918B88D" w14:textId="77777777" w:rsidR="00B207D0" w:rsidRPr="00642DED" w:rsidRDefault="00B207D0" w:rsidP="00B207D0">
            <w:pPr>
              <w:jc w:val="both"/>
              <w:rPr>
                <w:rFonts w:ascii="Arial" w:hAnsi="Arial" w:cs="Arial"/>
                <w:sz w:val="20"/>
                <w:szCs w:val="20"/>
              </w:rPr>
            </w:pPr>
            <w:r w:rsidRPr="00642DED">
              <w:rPr>
                <w:rFonts w:ascii="Arial" w:hAnsi="Arial" w:cs="Arial"/>
                <w:sz w:val="20"/>
                <w:szCs w:val="20"/>
              </w:rPr>
              <w:t>Egreso</w:t>
            </w:r>
          </w:p>
        </w:tc>
        <w:tc>
          <w:tcPr>
            <w:tcW w:w="3828" w:type="dxa"/>
          </w:tcPr>
          <w:p w14:paraId="246CDBAE" w14:textId="77777777" w:rsidR="00B207D0" w:rsidRPr="00642DED" w:rsidRDefault="00B207D0" w:rsidP="00B207D0">
            <w:pPr>
              <w:jc w:val="center"/>
              <w:rPr>
                <w:rFonts w:ascii="Arial" w:hAnsi="Arial" w:cs="Arial"/>
                <w:sz w:val="20"/>
                <w:szCs w:val="20"/>
              </w:rPr>
            </w:pPr>
            <w:r w:rsidRPr="00642DED">
              <w:rPr>
                <w:rFonts w:ascii="Arial" w:hAnsi="Arial" w:cs="Arial"/>
                <w:sz w:val="20"/>
                <w:szCs w:val="20"/>
              </w:rPr>
              <w:t>15.15%</w:t>
            </w:r>
          </w:p>
        </w:tc>
      </w:tr>
    </w:tbl>
    <w:p w14:paraId="19AAA5DE" w14:textId="77777777" w:rsidR="00B207D0" w:rsidRPr="00642DED" w:rsidRDefault="00B207D0" w:rsidP="00B207D0">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ANUIES 2014-2018.</w:t>
      </w:r>
    </w:p>
    <w:p w14:paraId="42A9E23B" w14:textId="1D507728" w:rsidR="00B207D0" w:rsidRDefault="009026BB" w:rsidP="009026BB">
      <w:pPr>
        <w:spacing w:line="360" w:lineRule="auto"/>
        <w:jc w:val="both"/>
        <w:rPr>
          <w:rFonts w:ascii="Arial" w:hAnsi="Arial" w:cs="Arial"/>
        </w:rPr>
      </w:pPr>
      <w:r>
        <w:rPr>
          <w:rFonts w:ascii="Arial" w:hAnsi="Arial" w:cs="Arial"/>
        </w:rPr>
        <w:t>E</w:t>
      </w:r>
      <w:r w:rsidR="00B207D0" w:rsidRPr="00642DED">
        <w:rPr>
          <w:rFonts w:ascii="Arial" w:hAnsi="Arial" w:cs="Arial"/>
        </w:rPr>
        <w:t xml:space="preserve">n cuanto al ingreso, matrícula y egreso que concentran cada una de las IES privadas que ofertan la especialidad, en la Gráfica </w:t>
      </w:r>
      <w:r w:rsidR="00F260F1">
        <w:rPr>
          <w:rFonts w:ascii="Arial" w:hAnsi="Arial" w:cs="Arial"/>
        </w:rPr>
        <w:t>16</w:t>
      </w:r>
      <w:r w:rsidR="00B207D0" w:rsidRPr="00642DED">
        <w:rPr>
          <w:rFonts w:ascii="Arial" w:hAnsi="Arial" w:cs="Arial"/>
        </w:rPr>
        <w:t xml:space="preserve"> puede observarse que la institución con mayor número de residentes es la Universidad de Monterrey, seguida por el Instituto Tecnológico y de Estudios Superiores de Monterrey y la Universidad La Salle. En 2018, la Universidad La Salle México reportó en ANUIES una matrícula de 29 residentes, de forma que a nivel nacional y contemplando ambos sectores tiene un porcentaje de participación en la formación de anestesiólogos de 2.02. En el caso de considerar únicamente al sector privado, su participación asciende al 17.26% a nivel nacional.</w:t>
      </w:r>
    </w:p>
    <w:p w14:paraId="0A58CE33" w14:textId="2AF22D06" w:rsidR="00B207D0" w:rsidRPr="00642DED" w:rsidRDefault="003D2BA3" w:rsidP="00B207D0">
      <w:pPr>
        <w:jc w:val="center"/>
        <w:rPr>
          <w:rFonts w:ascii="Arial" w:hAnsi="Arial" w:cs="Arial"/>
        </w:rPr>
      </w:pPr>
      <w:r>
        <w:rPr>
          <w:rFonts w:ascii="Arial" w:hAnsi="Arial" w:cs="Arial"/>
          <w:b/>
          <w:bCs/>
        </w:rPr>
        <w:t xml:space="preserve">Gráfica </w:t>
      </w:r>
      <w:r w:rsidR="00F75DA8">
        <w:rPr>
          <w:rFonts w:ascii="Arial" w:hAnsi="Arial" w:cs="Arial"/>
          <w:b/>
          <w:bCs/>
        </w:rPr>
        <w:t>16</w:t>
      </w:r>
      <w:r w:rsidR="00B207D0" w:rsidRPr="00642DED">
        <w:rPr>
          <w:rFonts w:ascii="Arial" w:hAnsi="Arial" w:cs="Arial"/>
          <w:b/>
          <w:bCs/>
        </w:rPr>
        <w:t>. Ingreso, Matrícula y Egreso de las IES Privadas a Nivel Nacional en el Periodo de 2014 a 2018 de la Especialidad en Anestesiología.</w:t>
      </w:r>
    </w:p>
    <w:p w14:paraId="06809874" w14:textId="29B1C22E" w:rsidR="007D75B0" w:rsidRDefault="007D75B0" w:rsidP="007E678C">
      <w:pPr>
        <w:spacing w:after="0" w:line="240" w:lineRule="auto"/>
        <w:jc w:val="both"/>
        <w:rPr>
          <w:rFonts w:ascii="Indivisa Text Sans" w:hAnsi="Indivisa Text Sans"/>
          <w:noProof/>
          <w:lang w:eastAsia="es-MX"/>
        </w:rPr>
      </w:pPr>
      <w:r w:rsidRPr="00243D83">
        <w:rPr>
          <w:rFonts w:ascii="Arial" w:hAnsi="Arial" w:cs="Arial"/>
          <w:noProof/>
          <w:lang w:eastAsia="es-MX"/>
        </w:rPr>
        <w:drawing>
          <wp:inline distT="0" distB="0" distL="0" distR="0" wp14:anchorId="237317BC" wp14:editId="5FCA213B">
            <wp:extent cx="5612130" cy="4219575"/>
            <wp:effectExtent l="0" t="0" r="7620" b="9525"/>
            <wp:docPr id="48" name="Gráfico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8878FEA" w14:textId="77777777" w:rsidR="007D75B0" w:rsidRDefault="007D75B0" w:rsidP="007E678C">
      <w:pPr>
        <w:spacing w:after="0" w:line="240" w:lineRule="auto"/>
        <w:jc w:val="both"/>
        <w:rPr>
          <w:rFonts w:ascii="Indivisa Text Sans" w:hAnsi="Indivisa Text Sans"/>
        </w:rPr>
      </w:pPr>
    </w:p>
    <w:p w14:paraId="5792F692" w14:textId="77777777" w:rsidR="00B207D0" w:rsidRPr="00642DED" w:rsidRDefault="00B207D0" w:rsidP="00B207D0">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xml:space="preserve">: Elaboración propia con base en ANUIES 2014-2018. </w:t>
      </w:r>
    </w:p>
    <w:p w14:paraId="563A3D7E" w14:textId="72B7741B" w:rsidR="00C7513D" w:rsidRPr="004905C4" w:rsidRDefault="009026BB" w:rsidP="005B29FD">
      <w:pPr>
        <w:spacing w:after="0" w:line="360" w:lineRule="auto"/>
        <w:jc w:val="both"/>
        <w:rPr>
          <w:rFonts w:ascii="Arial" w:hAnsi="Arial" w:cs="Arial"/>
          <w:spacing w:val="-10"/>
        </w:rPr>
      </w:pPr>
      <w:r w:rsidRPr="004905C4">
        <w:rPr>
          <w:rFonts w:ascii="Arial" w:hAnsi="Arial" w:cs="Arial"/>
          <w:spacing w:val="-10"/>
        </w:rPr>
        <w:lastRenderedPageBreak/>
        <w:t>P</w:t>
      </w:r>
      <w:r w:rsidR="00B207D0" w:rsidRPr="004905C4">
        <w:rPr>
          <w:rFonts w:ascii="Arial" w:hAnsi="Arial" w:cs="Arial"/>
          <w:spacing w:val="-10"/>
        </w:rPr>
        <w:t>uede señalarse que la brecha entre la demanda y la oferta de especialidades médicas se ha incrementado en los últimos años, por lo tanto, se torna relevante en primera instancia formar especialistas con programas de calidad y que, en la medida de lo posible, se incremente el número de plazas para residencias de forma que puedan atender la</w:t>
      </w:r>
      <w:r w:rsidR="003F7E8C" w:rsidRPr="004905C4">
        <w:rPr>
          <w:rFonts w:ascii="Arial" w:hAnsi="Arial" w:cs="Arial"/>
          <w:spacing w:val="-10"/>
        </w:rPr>
        <w:t xml:space="preserve">s necesidades de la población. </w:t>
      </w:r>
      <w:r w:rsidR="00B207D0" w:rsidRPr="004905C4">
        <w:rPr>
          <w:rFonts w:ascii="Arial" w:hAnsi="Arial" w:cs="Arial"/>
          <w:spacing w:val="-10"/>
        </w:rPr>
        <w:t>Específicamente, en el caso de la especialidad en Anestesiología puede señalarse que ha sido un programa que ha mostrado un incremento moderado en los últimos cinco años, con tasas de crecimiento positivas en los indicadores de ingreso, matrícula y egreso, en la que el sector público se sobrepone al privado, y dentro de este último, la Universidad La Salle tiene un porcentaje de participación del 17.26%.</w:t>
      </w:r>
    </w:p>
    <w:p w14:paraId="2F8D78DB" w14:textId="77777777" w:rsidR="00CC1CD9" w:rsidRPr="003F7E8C" w:rsidRDefault="00CC1CD9" w:rsidP="009026BB">
      <w:pPr>
        <w:spacing w:line="360" w:lineRule="auto"/>
        <w:jc w:val="both"/>
        <w:rPr>
          <w:rFonts w:ascii="Arial" w:hAnsi="Arial" w:cs="Arial"/>
          <w:spacing w:val="-10"/>
        </w:rPr>
      </w:pPr>
      <w:r w:rsidRPr="003F7E8C">
        <w:rPr>
          <w:rFonts w:ascii="Arial" w:hAnsi="Arial" w:cs="Arial"/>
          <w:spacing w:val="-10"/>
        </w:rPr>
        <w:t>En relación con el comportamiento del ingreso, matrícula y egreso en el periodo 2012 a 2018, de la Especialidad en Anestesiología que avala la Universidad La Salle, se presentan los siguientes datos:</w:t>
      </w:r>
    </w:p>
    <w:p w14:paraId="3DB02AC9" w14:textId="452E37D3" w:rsidR="00CC1CD9" w:rsidRPr="004905C4" w:rsidRDefault="00CC1CD9" w:rsidP="004905C4">
      <w:pPr>
        <w:spacing w:after="0" w:line="360" w:lineRule="auto"/>
        <w:jc w:val="both"/>
        <w:rPr>
          <w:rFonts w:ascii="Arial" w:hAnsi="Arial" w:cs="Arial"/>
          <w:spacing w:val="-10"/>
        </w:rPr>
      </w:pPr>
      <w:r w:rsidRPr="004905C4">
        <w:rPr>
          <w:rFonts w:ascii="Arial" w:hAnsi="Arial" w:cs="Arial"/>
          <w:spacing w:val="-10"/>
        </w:rPr>
        <w:t>La Especialidad se ofrece en: Hospital Ángeles del Pedregal, Hospital Án</w:t>
      </w:r>
      <w:r w:rsidR="004039CD" w:rsidRPr="004905C4">
        <w:rPr>
          <w:rFonts w:ascii="Arial" w:hAnsi="Arial" w:cs="Arial"/>
          <w:spacing w:val="-10"/>
        </w:rPr>
        <w:t xml:space="preserve">geles Mocel, Nuevo Sanatorio </w:t>
      </w:r>
      <w:r w:rsidRPr="004905C4">
        <w:rPr>
          <w:rFonts w:ascii="Arial" w:hAnsi="Arial" w:cs="Arial"/>
          <w:spacing w:val="-10"/>
        </w:rPr>
        <w:t>Durango, Hospital Ángeles Londres y Hospital Ángeles Metropolitano, cuyos datos de Ingreso nos indican que los 5 hospitales, cuentan con una constante de al menos 2 residentes durante los p</w:t>
      </w:r>
      <w:r w:rsidR="004905C4">
        <w:rPr>
          <w:rFonts w:ascii="Arial" w:hAnsi="Arial" w:cs="Arial"/>
          <w:spacing w:val="-10"/>
        </w:rPr>
        <w:t xml:space="preserve">eriodos de 2012 a 2018. </w:t>
      </w:r>
      <w:r w:rsidRPr="004905C4">
        <w:rPr>
          <w:rFonts w:ascii="Arial" w:hAnsi="Arial" w:cs="Arial"/>
          <w:spacing w:val="-10"/>
        </w:rPr>
        <w:t>El hospital con mayor número de mat</w:t>
      </w:r>
      <w:r w:rsidR="004039CD" w:rsidRPr="004905C4">
        <w:rPr>
          <w:rFonts w:ascii="Arial" w:hAnsi="Arial" w:cs="Arial"/>
          <w:spacing w:val="-10"/>
        </w:rPr>
        <w:t xml:space="preserve">rícula es el Nuevo Sanatorio </w:t>
      </w:r>
      <w:r w:rsidRPr="004905C4">
        <w:rPr>
          <w:rFonts w:ascii="Arial" w:hAnsi="Arial" w:cs="Arial"/>
          <w:spacing w:val="-10"/>
        </w:rPr>
        <w:t xml:space="preserve">Durango, con 7 estudiantes de especialidad durante los últimos tres años; luego los Hospitales Ángeles Mocel y Londres con 6 estudiantes durante todos los periodos 2012 a 2018; el Hospital Ángeles del Pedregal con 6 estudiantes en el último año; y por último el Hospital Ángeles Metropolitano con 5 estudiantes en los últimos dos años. </w:t>
      </w:r>
    </w:p>
    <w:p w14:paraId="350EC35D" w14:textId="3CC480FC" w:rsidR="009026BB" w:rsidRPr="004905C4" w:rsidRDefault="00CC1CD9" w:rsidP="004905C4">
      <w:pPr>
        <w:spacing w:after="0" w:line="360" w:lineRule="auto"/>
        <w:jc w:val="both"/>
        <w:rPr>
          <w:rFonts w:ascii="Arial" w:hAnsi="Arial" w:cs="Arial"/>
          <w:spacing w:val="-10"/>
        </w:rPr>
      </w:pPr>
      <w:r w:rsidRPr="004905C4">
        <w:rPr>
          <w:rFonts w:ascii="Arial" w:hAnsi="Arial" w:cs="Arial"/>
          <w:spacing w:val="-10"/>
        </w:rPr>
        <w:t xml:space="preserve">En cuanto al Egreso, los Hospitales Ángeles Londres, Mocel y Pedregal indican una constante de 2 residentes durante los años 2012 a 2018; el Nuevo Sanatorio Durango muestra datos de 2 estudiantes durante los últimos dos años; y en lo que se refiere al Hospital Ángeles Metropolitano, </w:t>
      </w:r>
      <w:r w:rsidR="004905C4">
        <w:rPr>
          <w:rFonts w:ascii="Arial" w:hAnsi="Arial" w:cs="Arial"/>
          <w:spacing w:val="-10"/>
        </w:rPr>
        <w:t xml:space="preserve">en el 2018 se posicionó con 2. </w:t>
      </w:r>
      <w:r w:rsidRPr="004905C4">
        <w:rPr>
          <w:rFonts w:ascii="Arial" w:hAnsi="Arial" w:cs="Arial"/>
          <w:spacing w:val="-10"/>
        </w:rPr>
        <w:t>Por otro lado, la siguiente Gráfica 1</w:t>
      </w:r>
      <w:r w:rsidR="004905C4" w:rsidRPr="004905C4">
        <w:rPr>
          <w:rFonts w:ascii="Arial" w:hAnsi="Arial" w:cs="Arial"/>
          <w:spacing w:val="-10"/>
        </w:rPr>
        <w:t>8</w:t>
      </w:r>
      <w:r w:rsidRPr="004905C4">
        <w:rPr>
          <w:rFonts w:ascii="Arial" w:hAnsi="Arial" w:cs="Arial"/>
          <w:spacing w:val="-10"/>
        </w:rPr>
        <w:t xml:space="preserve">, nos indica que el total del Ingreso, Matrícula y Egreso de las 5 Instituciones en Salud, muestran datos similares respecto a los tres rubros, durante los años de 2012 a 2018. La tasa de crecimiento es: ingreso 2%, matrícula 1% y egreso 12%. </w:t>
      </w:r>
    </w:p>
    <w:p w14:paraId="1711EBE3" w14:textId="05195BDC" w:rsidR="00CC1CD9" w:rsidRPr="007E678C" w:rsidRDefault="00CC1CD9" w:rsidP="007E678C">
      <w:pPr>
        <w:pStyle w:val="Default"/>
        <w:rPr>
          <w:rFonts w:ascii="Indivisa Text Sans" w:hAnsi="Indivisa Text Sans"/>
          <w:b/>
          <w:spacing w:val="-12"/>
          <w:sz w:val="22"/>
          <w:szCs w:val="22"/>
        </w:rPr>
      </w:pPr>
      <w:r w:rsidRPr="007E678C">
        <w:rPr>
          <w:rFonts w:ascii="Indivisa Text Sans" w:hAnsi="Indivisa Text Sans"/>
          <w:b/>
          <w:spacing w:val="-12"/>
          <w:sz w:val="22"/>
          <w:szCs w:val="22"/>
        </w:rPr>
        <w:t>Gráfica 1</w:t>
      </w:r>
      <w:r w:rsidR="00F75DA8">
        <w:rPr>
          <w:rFonts w:ascii="Indivisa Text Sans" w:hAnsi="Indivisa Text Sans"/>
          <w:b/>
          <w:spacing w:val="-12"/>
          <w:sz w:val="22"/>
          <w:szCs w:val="22"/>
        </w:rPr>
        <w:t>7</w:t>
      </w:r>
      <w:r w:rsidRPr="007E678C">
        <w:rPr>
          <w:rFonts w:ascii="Indivisa Text Sans" w:hAnsi="Indivisa Text Sans"/>
          <w:b/>
          <w:spacing w:val="-12"/>
          <w:sz w:val="22"/>
          <w:szCs w:val="22"/>
        </w:rPr>
        <w:t>. Evolución de ingreso, matrícula y egreso de la Especialidad en Anestesiología 2012 a 2018.</w:t>
      </w:r>
    </w:p>
    <w:p w14:paraId="25931FB6" w14:textId="77777777" w:rsidR="00CC1CD9" w:rsidRDefault="00CC1CD9" w:rsidP="00CC1CD9">
      <w:pPr>
        <w:pStyle w:val="Default"/>
        <w:jc w:val="center"/>
        <w:rPr>
          <w:rFonts w:ascii="Indivisa Text Sans" w:hAnsi="Indivisa Text Sans"/>
          <w:sz w:val="23"/>
          <w:szCs w:val="23"/>
        </w:rPr>
      </w:pPr>
      <w:r>
        <w:rPr>
          <w:noProof/>
          <w:lang w:eastAsia="es-MX"/>
        </w:rPr>
        <w:drawing>
          <wp:anchor distT="0" distB="0" distL="114300" distR="114300" simplePos="0" relativeHeight="251659264" behindDoc="0" locked="0" layoutInCell="1" allowOverlap="1" wp14:anchorId="30196EA3" wp14:editId="2DDD64B2">
            <wp:simplePos x="0" y="0"/>
            <wp:positionH relativeFrom="column">
              <wp:posOffset>524378</wp:posOffset>
            </wp:positionH>
            <wp:positionV relativeFrom="paragraph">
              <wp:posOffset>5284</wp:posOffset>
            </wp:positionV>
            <wp:extent cx="4572000" cy="1699403"/>
            <wp:effectExtent l="0" t="0" r="0" b="15240"/>
            <wp:wrapNone/>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V relativeFrom="margin">
              <wp14:pctHeight>0</wp14:pctHeight>
            </wp14:sizeRelV>
          </wp:anchor>
        </w:drawing>
      </w:r>
    </w:p>
    <w:p w14:paraId="18343E18" w14:textId="77777777" w:rsidR="00CC1CD9" w:rsidRDefault="00CC1CD9" w:rsidP="00CC1CD9">
      <w:pPr>
        <w:pStyle w:val="Default"/>
        <w:jc w:val="both"/>
        <w:rPr>
          <w:rFonts w:ascii="Indivisa Text Sans" w:hAnsi="Indivisa Text Sans"/>
          <w:sz w:val="23"/>
          <w:szCs w:val="23"/>
        </w:rPr>
      </w:pPr>
    </w:p>
    <w:p w14:paraId="273EE24E" w14:textId="77777777" w:rsidR="00CC1CD9" w:rsidRDefault="00CC1CD9" w:rsidP="00CC1CD9">
      <w:pPr>
        <w:pStyle w:val="Default"/>
        <w:jc w:val="both"/>
        <w:rPr>
          <w:rFonts w:ascii="Indivisa Text Sans" w:hAnsi="Indivisa Text Sans"/>
          <w:sz w:val="23"/>
          <w:szCs w:val="23"/>
        </w:rPr>
      </w:pPr>
    </w:p>
    <w:p w14:paraId="327C9E08" w14:textId="77777777" w:rsidR="00CC1CD9" w:rsidRDefault="00CC1CD9" w:rsidP="00CC1CD9">
      <w:pPr>
        <w:pStyle w:val="Default"/>
        <w:jc w:val="both"/>
        <w:rPr>
          <w:rFonts w:ascii="Indivisa Text Sans" w:hAnsi="Indivisa Text Sans"/>
          <w:sz w:val="23"/>
          <w:szCs w:val="23"/>
        </w:rPr>
      </w:pPr>
    </w:p>
    <w:p w14:paraId="71C76E9F" w14:textId="77777777" w:rsidR="00CC1CD9" w:rsidRDefault="00CC1CD9" w:rsidP="00CC1CD9">
      <w:pPr>
        <w:pStyle w:val="Default"/>
        <w:jc w:val="both"/>
        <w:rPr>
          <w:rFonts w:ascii="Indivisa Text Sans" w:hAnsi="Indivisa Text Sans"/>
          <w:sz w:val="23"/>
          <w:szCs w:val="23"/>
        </w:rPr>
      </w:pPr>
    </w:p>
    <w:p w14:paraId="0AEBC22D" w14:textId="77777777" w:rsidR="00CC1CD9" w:rsidRDefault="00CC1CD9" w:rsidP="00CC1CD9">
      <w:pPr>
        <w:pStyle w:val="Default"/>
        <w:jc w:val="both"/>
        <w:rPr>
          <w:rFonts w:ascii="Indivisa Text Sans" w:hAnsi="Indivisa Text Sans"/>
          <w:sz w:val="23"/>
          <w:szCs w:val="23"/>
        </w:rPr>
      </w:pPr>
    </w:p>
    <w:p w14:paraId="1184E7EE" w14:textId="77777777" w:rsidR="00CC1CD9" w:rsidRDefault="00CC1CD9" w:rsidP="00CC1CD9">
      <w:pPr>
        <w:pStyle w:val="Default"/>
        <w:jc w:val="both"/>
        <w:rPr>
          <w:rFonts w:ascii="Indivisa Text Sans" w:hAnsi="Indivisa Text Sans"/>
          <w:sz w:val="23"/>
          <w:szCs w:val="23"/>
        </w:rPr>
      </w:pPr>
    </w:p>
    <w:p w14:paraId="646BFA3A" w14:textId="77777777" w:rsidR="00CC1CD9" w:rsidRDefault="00CC1CD9" w:rsidP="00CC1CD9">
      <w:pPr>
        <w:pStyle w:val="Default"/>
        <w:jc w:val="both"/>
        <w:rPr>
          <w:rFonts w:ascii="Indivisa Text Sans" w:hAnsi="Indivisa Text Sans"/>
          <w:sz w:val="23"/>
          <w:szCs w:val="23"/>
        </w:rPr>
      </w:pPr>
    </w:p>
    <w:p w14:paraId="4D3619ED" w14:textId="63FA6F7A" w:rsidR="00CC1CD9" w:rsidRDefault="009026BB" w:rsidP="00CC1CD9">
      <w:pPr>
        <w:spacing w:line="360" w:lineRule="auto"/>
        <w:jc w:val="both"/>
        <w:rPr>
          <w:rFonts w:ascii="Arial" w:hAnsi="Arial" w:cs="Arial"/>
          <w:sz w:val="18"/>
        </w:rPr>
      </w:pPr>
      <w:r>
        <w:rPr>
          <w:rFonts w:ascii="Arial" w:hAnsi="Arial" w:cs="Arial"/>
          <w:sz w:val="18"/>
        </w:rPr>
        <w:t xml:space="preserve">           </w:t>
      </w:r>
      <w:r w:rsidR="00CC1CD9" w:rsidRPr="009026BB">
        <w:rPr>
          <w:rFonts w:ascii="Arial" w:hAnsi="Arial" w:cs="Arial"/>
          <w:sz w:val="18"/>
        </w:rPr>
        <w:t>Fuente: Elaboración propia con base en datos de la Facultad Mexicana de Medicina 2012 a 2018.</w:t>
      </w:r>
    </w:p>
    <w:p w14:paraId="0D05997A" w14:textId="77777777" w:rsidR="00920C03" w:rsidRPr="001C4925" w:rsidRDefault="00920C03" w:rsidP="00920C03">
      <w:pPr>
        <w:pStyle w:val="Sinespaciado"/>
        <w:jc w:val="both"/>
        <w:rPr>
          <w:rFonts w:ascii="Arial" w:hAnsi="Arial" w:cs="Arial"/>
          <w:b/>
        </w:rPr>
      </w:pPr>
      <w:r w:rsidRPr="001C4925">
        <w:rPr>
          <w:rFonts w:ascii="Arial" w:hAnsi="Arial" w:cs="Arial"/>
          <w:b/>
        </w:rPr>
        <w:lastRenderedPageBreak/>
        <w:t>BIBLIOGRAFÍA</w:t>
      </w:r>
    </w:p>
    <w:p w14:paraId="2ADD8542" w14:textId="77777777" w:rsidR="00920C03" w:rsidRPr="00E727FB" w:rsidRDefault="00920C03" w:rsidP="00920C03">
      <w:pPr>
        <w:pStyle w:val="Sinespaciado"/>
        <w:jc w:val="both"/>
        <w:rPr>
          <w:rFonts w:ascii="Arial" w:hAnsi="Arial" w:cs="Arial"/>
        </w:rPr>
      </w:pPr>
    </w:p>
    <w:p w14:paraId="0F4E07B3" w14:textId="77777777" w:rsidR="00920C03" w:rsidRPr="00D55791" w:rsidRDefault="00920C03" w:rsidP="00920C03">
      <w:pPr>
        <w:pStyle w:val="Sinespaciado"/>
        <w:jc w:val="both"/>
        <w:rPr>
          <w:rFonts w:ascii="Arial" w:hAnsi="Arial" w:cs="Arial"/>
        </w:rPr>
      </w:pPr>
      <w:r w:rsidRPr="00E62E3D">
        <w:rPr>
          <w:rFonts w:ascii="Arial" w:hAnsi="Arial" w:cs="Arial"/>
        </w:rPr>
        <w:t xml:space="preserve">Bland, C. </w:t>
      </w:r>
      <w:r w:rsidRPr="00E62E3D">
        <w:rPr>
          <w:rFonts w:ascii="Arial" w:hAnsi="Arial" w:cs="Arial"/>
          <w:i/>
        </w:rPr>
        <w:t>et al.</w:t>
      </w:r>
      <w:r w:rsidRPr="00E62E3D">
        <w:rPr>
          <w:rFonts w:ascii="Arial" w:hAnsi="Arial" w:cs="Arial"/>
        </w:rPr>
        <w:t xml:space="preserve"> </w:t>
      </w:r>
      <w:r w:rsidRPr="00D55791">
        <w:rPr>
          <w:rFonts w:ascii="Arial" w:hAnsi="Arial" w:cs="Arial"/>
          <w:lang w:val="en-US"/>
        </w:rPr>
        <w:t xml:space="preserve">(1995). Determinants of primary care specialty choice: A non-statistical meta-analysis of the literature. </w:t>
      </w:r>
      <w:r w:rsidRPr="00D55791">
        <w:rPr>
          <w:rFonts w:ascii="Arial" w:hAnsi="Arial" w:cs="Arial"/>
          <w:i/>
        </w:rPr>
        <w:t>Acad Med</w:t>
      </w:r>
      <w:r w:rsidRPr="00D55791">
        <w:rPr>
          <w:rFonts w:ascii="Arial" w:hAnsi="Arial" w:cs="Arial"/>
        </w:rPr>
        <w:t xml:space="preserve">, </w:t>
      </w:r>
      <w:r w:rsidRPr="00D55791">
        <w:rPr>
          <w:rFonts w:ascii="Arial" w:hAnsi="Arial" w:cs="Arial"/>
          <w:i/>
        </w:rPr>
        <w:t>70</w:t>
      </w:r>
      <w:r w:rsidRPr="00D55791">
        <w:rPr>
          <w:rFonts w:ascii="Arial" w:hAnsi="Arial" w:cs="Arial"/>
        </w:rPr>
        <w:t>(7), 620–641.</w:t>
      </w:r>
    </w:p>
    <w:p w14:paraId="3F8A25E2" w14:textId="77777777" w:rsidR="00920C03" w:rsidRPr="00D55791" w:rsidRDefault="00920C03" w:rsidP="00920C03">
      <w:pPr>
        <w:pStyle w:val="Sinespaciado"/>
        <w:jc w:val="both"/>
        <w:rPr>
          <w:rFonts w:ascii="Arial" w:hAnsi="Arial" w:cs="Arial"/>
        </w:rPr>
      </w:pPr>
    </w:p>
    <w:p w14:paraId="31DC305C" w14:textId="77777777" w:rsidR="00920C03" w:rsidRPr="00D55791" w:rsidRDefault="00920C03" w:rsidP="00920C03">
      <w:pPr>
        <w:pStyle w:val="Sinespaciado"/>
        <w:jc w:val="both"/>
        <w:rPr>
          <w:rFonts w:ascii="Arial" w:hAnsi="Arial" w:cs="Arial"/>
        </w:rPr>
      </w:pPr>
      <w:r w:rsidRPr="00D55791">
        <w:rPr>
          <w:rFonts w:ascii="Arial" w:hAnsi="Arial" w:cs="Arial"/>
        </w:rPr>
        <w:t xml:space="preserve">Cárdenas, R. (2010). Desafíos de la atención a la salud. En B. García y M. Ordorica (Coords.), </w:t>
      </w:r>
      <w:r w:rsidRPr="00D55791">
        <w:rPr>
          <w:rFonts w:ascii="Arial" w:hAnsi="Arial" w:cs="Arial"/>
          <w:i/>
        </w:rPr>
        <w:t>Los grandes problemas de México: Población (</w:t>
      </w:r>
      <w:r w:rsidRPr="00D55791">
        <w:rPr>
          <w:rFonts w:ascii="Arial" w:hAnsi="Arial" w:cs="Arial"/>
        </w:rPr>
        <w:t>pp.105-136)</w:t>
      </w:r>
      <w:r w:rsidRPr="00D55791">
        <w:rPr>
          <w:rFonts w:ascii="Arial" w:hAnsi="Arial" w:cs="Arial"/>
          <w:i/>
        </w:rPr>
        <w:t>.</w:t>
      </w:r>
      <w:r w:rsidRPr="00D55791">
        <w:rPr>
          <w:rFonts w:ascii="Arial" w:hAnsi="Arial" w:cs="Arial"/>
        </w:rPr>
        <w:t xml:space="preserve"> México: El Colegio de México.</w:t>
      </w:r>
    </w:p>
    <w:p w14:paraId="67380A6B" w14:textId="77777777" w:rsidR="00920C03" w:rsidRPr="00D55791" w:rsidRDefault="00920C03" w:rsidP="00920C03">
      <w:pPr>
        <w:pStyle w:val="Sinespaciado"/>
        <w:jc w:val="both"/>
        <w:rPr>
          <w:rFonts w:ascii="Arial" w:hAnsi="Arial" w:cs="Arial"/>
        </w:rPr>
      </w:pPr>
    </w:p>
    <w:p w14:paraId="6BF49245" w14:textId="77777777" w:rsidR="00920C03" w:rsidRPr="00D55791" w:rsidRDefault="00920C03" w:rsidP="00920C03">
      <w:pPr>
        <w:pStyle w:val="Sinespaciado"/>
        <w:jc w:val="both"/>
        <w:rPr>
          <w:rFonts w:ascii="Arial" w:hAnsi="Arial" w:cs="Arial"/>
        </w:rPr>
      </w:pPr>
      <w:r w:rsidRPr="00D55791">
        <w:rPr>
          <w:rFonts w:ascii="Arial" w:hAnsi="Arial" w:cs="Arial"/>
        </w:rPr>
        <w:t xml:space="preserve">CONAPO (2018). </w:t>
      </w:r>
      <w:r w:rsidRPr="00D55791">
        <w:rPr>
          <w:rFonts w:ascii="Arial" w:hAnsi="Arial" w:cs="Arial"/>
          <w:i/>
        </w:rPr>
        <w:t>Proyecciones de población de México y de las entidades federativas 2016-2050.</w:t>
      </w:r>
      <w:r w:rsidRPr="00D55791">
        <w:rPr>
          <w:rFonts w:ascii="Arial" w:hAnsi="Arial" w:cs="Arial"/>
        </w:rPr>
        <w:t xml:space="preserve"> CONAPO. México. [En línea].  http://www.conapo.gob.mx. [Consulta el 1 de febrero de 2019]. </w:t>
      </w:r>
    </w:p>
    <w:p w14:paraId="209C5462" w14:textId="77777777" w:rsidR="00920C03" w:rsidRPr="00D55791" w:rsidRDefault="00920C03" w:rsidP="00920C03">
      <w:pPr>
        <w:pStyle w:val="Sinespaciado"/>
        <w:jc w:val="both"/>
        <w:rPr>
          <w:rFonts w:ascii="Arial" w:hAnsi="Arial" w:cs="Arial"/>
        </w:rPr>
      </w:pPr>
    </w:p>
    <w:p w14:paraId="285DFC0F" w14:textId="77777777" w:rsidR="00920C03" w:rsidRPr="00D55791" w:rsidRDefault="00920C03" w:rsidP="00920C03">
      <w:pPr>
        <w:pStyle w:val="Sinespaciado"/>
        <w:jc w:val="both"/>
        <w:rPr>
          <w:rFonts w:ascii="Arial" w:hAnsi="Arial" w:cs="Arial"/>
        </w:rPr>
      </w:pPr>
      <w:r w:rsidRPr="00D55791">
        <w:rPr>
          <w:rFonts w:ascii="Arial" w:hAnsi="Arial" w:cs="Arial"/>
        </w:rPr>
        <w:t>Constitución Política de los Estados Unidos Mexicanos. Diario Oficial de la Federación, Ciudad de México, México, 06 de junio de 2019.</w:t>
      </w:r>
    </w:p>
    <w:p w14:paraId="389B97BA" w14:textId="77777777" w:rsidR="00920C03" w:rsidRPr="00D55791" w:rsidRDefault="00920C03" w:rsidP="00920C03">
      <w:pPr>
        <w:pStyle w:val="Sinespaciado"/>
        <w:jc w:val="both"/>
        <w:rPr>
          <w:rFonts w:ascii="Arial" w:hAnsi="Arial" w:cs="Arial"/>
        </w:rPr>
      </w:pPr>
    </w:p>
    <w:p w14:paraId="441890F6" w14:textId="77777777" w:rsidR="00920C03" w:rsidRPr="00D55791" w:rsidRDefault="00920C03" w:rsidP="00920C03">
      <w:pPr>
        <w:pStyle w:val="Sinespaciado"/>
        <w:jc w:val="both"/>
        <w:rPr>
          <w:rFonts w:ascii="Arial" w:hAnsi="Arial" w:cs="Arial"/>
          <w:lang w:val="en-US"/>
        </w:rPr>
      </w:pPr>
      <w:r w:rsidRPr="00D55791">
        <w:rPr>
          <w:rFonts w:ascii="Arial" w:hAnsi="Arial" w:cs="Arial"/>
        </w:rPr>
        <w:t xml:space="preserve">Córdoba, J. </w:t>
      </w:r>
      <w:r w:rsidRPr="00D55791">
        <w:rPr>
          <w:rFonts w:ascii="Arial" w:hAnsi="Arial" w:cs="Arial"/>
          <w:i/>
        </w:rPr>
        <w:t xml:space="preserve"> et al. </w:t>
      </w:r>
      <w:r w:rsidRPr="00D55791">
        <w:rPr>
          <w:rFonts w:ascii="Arial" w:hAnsi="Arial" w:cs="Arial"/>
        </w:rPr>
        <w:t xml:space="preserve">(2008). Las enfermedades crónicas no transmisibles en México: Sinopsis epidemiológica y prevención integral. </w:t>
      </w:r>
      <w:r w:rsidRPr="00D55791">
        <w:rPr>
          <w:rFonts w:ascii="Arial" w:hAnsi="Arial" w:cs="Arial"/>
          <w:i/>
          <w:lang w:val="en-US"/>
        </w:rPr>
        <w:t>Salud Pública de México</w:t>
      </w:r>
      <w:r w:rsidRPr="00D55791">
        <w:rPr>
          <w:rFonts w:ascii="Arial" w:hAnsi="Arial" w:cs="Arial"/>
          <w:lang w:val="en-US"/>
        </w:rPr>
        <w:t xml:space="preserve">, </w:t>
      </w:r>
      <w:r w:rsidRPr="00D55791">
        <w:rPr>
          <w:rFonts w:ascii="Arial" w:hAnsi="Arial" w:cs="Arial"/>
          <w:i/>
          <w:lang w:val="en-US"/>
        </w:rPr>
        <w:t>33</w:t>
      </w:r>
      <w:r w:rsidRPr="00D55791">
        <w:rPr>
          <w:rFonts w:ascii="Arial" w:hAnsi="Arial" w:cs="Arial"/>
          <w:lang w:val="en-US"/>
        </w:rPr>
        <w:t xml:space="preserve">(5), 448-462. </w:t>
      </w:r>
    </w:p>
    <w:p w14:paraId="7D7E17C3" w14:textId="77777777" w:rsidR="00920C03" w:rsidRPr="00503221" w:rsidRDefault="00920C03" w:rsidP="00920C03">
      <w:pPr>
        <w:pStyle w:val="Sinespaciado"/>
        <w:jc w:val="both"/>
        <w:rPr>
          <w:rFonts w:ascii="Arial" w:hAnsi="Arial" w:cs="Arial"/>
          <w:lang w:val="en-US"/>
        </w:rPr>
      </w:pPr>
    </w:p>
    <w:p w14:paraId="69629158" w14:textId="77777777" w:rsidR="00920C03" w:rsidRPr="00D55791" w:rsidRDefault="00920C03" w:rsidP="00920C03">
      <w:pPr>
        <w:pStyle w:val="Sinespaciado"/>
        <w:jc w:val="both"/>
        <w:rPr>
          <w:rFonts w:ascii="Arial" w:hAnsi="Arial" w:cs="Arial"/>
        </w:rPr>
      </w:pPr>
      <w:r w:rsidRPr="00D55791">
        <w:rPr>
          <w:rFonts w:ascii="Arial" w:hAnsi="Arial" w:cs="Arial"/>
          <w:lang w:val="en-US"/>
        </w:rPr>
        <w:t xml:space="preserve">Dussault, G. y M. Franceschini (2006). Not enough there, too many here: Understanding geographical imbalances in the distribution of the health workforce. </w:t>
      </w:r>
      <w:r w:rsidRPr="00D55791">
        <w:rPr>
          <w:rFonts w:ascii="Arial" w:hAnsi="Arial" w:cs="Arial"/>
          <w:i/>
        </w:rPr>
        <w:t>Human Resources for Health</w:t>
      </w:r>
      <w:r w:rsidRPr="00D55791">
        <w:rPr>
          <w:rFonts w:ascii="Arial" w:hAnsi="Arial" w:cs="Arial"/>
        </w:rPr>
        <w:t xml:space="preserve">, </w:t>
      </w:r>
      <w:r w:rsidRPr="00D55791">
        <w:rPr>
          <w:rFonts w:ascii="Arial" w:hAnsi="Arial" w:cs="Arial"/>
          <w:i/>
        </w:rPr>
        <w:t>4</w:t>
      </w:r>
      <w:r w:rsidRPr="00D55791">
        <w:rPr>
          <w:rFonts w:ascii="Arial" w:hAnsi="Arial" w:cs="Arial"/>
        </w:rPr>
        <w:t>(12), 1-16.</w:t>
      </w:r>
    </w:p>
    <w:p w14:paraId="056EC067" w14:textId="77777777" w:rsidR="00920C03" w:rsidRPr="00D55791" w:rsidRDefault="00920C03" w:rsidP="00920C03">
      <w:pPr>
        <w:pStyle w:val="Sinespaciado"/>
        <w:jc w:val="both"/>
        <w:rPr>
          <w:rFonts w:ascii="Arial" w:hAnsi="Arial" w:cs="Arial"/>
        </w:rPr>
      </w:pPr>
    </w:p>
    <w:p w14:paraId="04D7E452" w14:textId="77777777" w:rsidR="00920C03" w:rsidRPr="00D55791" w:rsidRDefault="00920C03" w:rsidP="00920C03">
      <w:pPr>
        <w:pStyle w:val="Sinespaciado"/>
        <w:jc w:val="both"/>
        <w:rPr>
          <w:rFonts w:ascii="Arial" w:hAnsi="Arial" w:cs="Arial"/>
        </w:rPr>
      </w:pPr>
      <w:r w:rsidRPr="00D55791">
        <w:rPr>
          <w:rFonts w:ascii="Arial" w:hAnsi="Arial" w:cs="Arial"/>
        </w:rPr>
        <w:t xml:space="preserve">Fajardo, G. </w:t>
      </w:r>
      <w:r w:rsidRPr="00D55791">
        <w:rPr>
          <w:rFonts w:ascii="Arial" w:hAnsi="Arial" w:cs="Arial"/>
          <w:i/>
        </w:rPr>
        <w:t xml:space="preserve">et al. </w:t>
      </w:r>
      <w:r w:rsidRPr="00D55791">
        <w:rPr>
          <w:rFonts w:ascii="Arial" w:hAnsi="Arial" w:cs="Arial"/>
        </w:rPr>
        <w:t xml:space="preserve">(2015). </w:t>
      </w:r>
      <w:r w:rsidRPr="00D55791">
        <w:rPr>
          <w:rFonts w:ascii="Arial" w:hAnsi="Arial" w:cs="Arial"/>
          <w:i/>
        </w:rPr>
        <w:t xml:space="preserve">La formación de médicos especialistas en México. </w:t>
      </w:r>
      <w:r w:rsidRPr="00D55791">
        <w:rPr>
          <w:rFonts w:ascii="Arial" w:hAnsi="Arial" w:cs="Arial"/>
        </w:rPr>
        <w:t>México: Academia Nacional de Medicina.</w:t>
      </w:r>
    </w:p>
    <w:p w14:paraId="695EDA67" w14:textId="77777777" w:rsidR="00920C03" w:rsidRPr="00D55791" w:rsidRDefault="00920C03" w:rsidP="00920C03">
      <w:pPr>
        <w:pStyle w:val="Sinespaciado"/>
        <w:jc w:val="both"/>
        <w:rPr>
          <w:rFonts w:ascii="Arial" w:hAnsi="Arial" w:cs="Arial"/>
        </w:rPr>
      </w:pPr>
    </w:p>
    <w:p w14:paraId="76ED9F98" w14:textId="77777777" w:rsidR="00920C03" w:rsidRPr="00D55791" w:rsidRDefault="00920C03" w:rsidP="00920C03">
      <w:pPr>
        <w:pStyle w:val="Sinespaciado"/>
        <w:jc w:val="both"/>
        <w:rPr>
          <w:rFonts w:ascii="Arial" w:hAnsi="Arial" w:cs="Arial"/>
        </w:rPr>
      </w:pPr>
      <w:r w:rsidRPr="00D55791">
        <w:rPr>
          <w:rFonts w:ascii="Arial" w:hAnsi="Arial" w:cs="Arial"/>
        </w:rPr>
        <w:t xml:space="preserve">Frenk, J. </w:t>
      </w:r>
      <w:r w:rsidRPr="00D55791">
        <w:rPr>
          <w:rFonts w:ascii="Arial" w:hAnsi="Arial" w:cs="Arial"/>
          <w:i/>
        </w:rPr>
        <w:t xml:space="preserve"> et al.</w:t>
      </w:r>
      <w:r w:rsidRPr="00D55791">
        <w:rPr>
          <w:rFonts w:ascii="Arial" w:hAnsi="Arial" w:cs="Arial"/>
        </w:rPr>
        <w:t xml:space="preserve"> (1991a). Elementos para una teoría de la transición en salud. </w:t>
      </w:r>
      <w:r w:rsidRPr="00D55791">
        <w:rPr>
          <w:rFonts w:ascii="Arial" w:hAnsi="Arial" w:cs="Arial"/>
          <w:i/>
        </w:rPr>
        <w:t>Salud Pública de México</w:t>
      </w:r>
      <w:r w:rsidRPr="00D55791">
        <w:rPr>
          <w:rFonts w:ascii="Arial" w:hAnsi="Arial" w:cs="Arial"/>
        </w:rPr>
        <w:t xml:space="preserve">, </w:t>
      </w:r>
      <w:r w:rsidRPr="00D55791">
        <w:rPr>
          <w:rFonts w:ascii="Arial" w:hAnsi="Arial" w:cs="Arial"/>
          <w:i/>
        </w:rPr>
        <w:t>33</w:t>
      </w:r>
      <w:r w:rsidRPr="00D55791">
        <w:rPr>
          <w:rFonts w:ascii="Arial" w:hAnsi="Arial" w:cs="Arial"/>
        </w:rPr>
        <w:t>(5), 448-462.</w:t>
      </w:r>
    </w:p>
    <w:p w14:paraId="151085EE" w14:textId="77777777" w:rsidR="00920C03" w:rsidRPr="00D55791" w:rsidRDefault="00920C03" w:rsidP="00920C03">
      <w:pPr>
        <w:pStyle w:val="Sinespaciado"/>
        <w:jc w:val="both"/>
        <w:rPr>
          <w:rFonts w:ascii="Arial" w:hAnsi="Arial" w:cs="Arial"/>
        </w:rPr>
      </w:pPr>
    </w:p>
    <w:p w14:paraId="35EEAABE" w14:textId="77777777" w:rsidR="00920C03" w:rsidRPr="00D55791" w:rsidRDefault="00920C03" w:rsidP="00920C03">
      <w:pPr>
        <w:pStyle w:val="Sinespaciado"/>
        <w:jc w:val="both"/>
        <w:rPr>
          <w:rFonts w:ascii="Arial" w:hAnsi="Arial" w:cs="Arial"/>
        </w:rPr>
      </w:pPr>
      <w:r w:rsidRPr="00D55791">
        <w:rPr>
          <w:rFonts w:ascii="Arial" w:hAnsi="Arial" w:cs="Arial"/>
        </w:rPr>
        <w:t xml:space="preserve">Frenk, J. </w:t>
      </w:r>
      <w:r w:rsidRPr="00D55791">
        <w:rPr>
          <w:rFonts w:ascii="Arial" w:hAnsi="Arial" w:cs="Arial"/>
          <w:i/>
        </w:rPr>
        <w:t>et al.</w:t>
      </w:r>
      <w:r w:rsidRPr="00D55791">
        <w:rPr>
          <w:rFonts w:ascii="Arial" w:hAnsi="Arial" w:cs="Arial"/>
        </w:rPr>
        <w:t xml:space="preserve"> (1991). La transición epidemiológica en América Latina. </w:t>
      </w:r>
      <w:r w:rsidRPr="00D55791">
        <w:rPr>
          <w:rFonts w:ascii="Arial" w:hAnsi="Arial" w:cs="Arial"/>
          <w:i/>
        </w:rPr>
        <w:t>Boletín de la Oficina Sanitaria Panamericana</w:t>
      </w:r>
      <w:r w:rsidRPr="00D55791">
        <w:rPr>
          <w:rFonts w:ascii="Arial" w:hAnsi="Arial" w:cs="Arial"/>
        </w:rPr>
        <w:t xml:space="preserve">, </w:t>
      </w:r>
      <w:r w:rsidRPr="00D55791">
        <w:rPr>
          <w:rFonts w:ascii="Arial" w:hAnsi="Arial" w:cs="Arial"/>
          <w:i/>
        </w:rPr>
        <w:t>111</w:t>
      </w:r>
      <w:r w:rsidRPr="00D55791">
        <w:rPr>
          <w:rFonts w:ascii="Arial" w:hAnsi="Arial" w:cs="Arial"/>
        </w:rPr>
        <w:t>(6), 485-496.</w:t>
      </w:r>
    </w:p>
    <w:p w14:paraId="2019061B" w14:textId="77777777" w:rsidR="00920C03" w:rsidRPr="00D55791" w:rsidRDefault="00920C03" w:rsidP="00920C03">
      <w:pPr>
        <w:pStyle w:val="Sinespaciado"/>
        <w:jc w:val="both"/>
        <w:rPr>
          <w:rFonts w:ascii="Arial" w:hAnsi="Arial" w:cs="Arial"/>
        </w:rPr>
      </w:pPr>
    </w:p>
    <w:p w14:paraId="7B0BED6E" w14:textId="77777777" w:rsidR="00920C03" w:rsidRPr="00D55791" w:rsidRDefault="00920C03" w:rsidP="00920C03">
      <w:pPr>
        <w:pStyle w:val="Sinespaciado"/>
        <w:jc w:val="both"/>
        <w:rPr>
          <w:rFonts w:ascii="Arial" w:hAnsi="Arial" w:cs="Arial"/>
        </w:rPr>
      </w:pPr>
      <w:r w:rsidRPr="00D55791">
        <w:rPr>
          <w:rFonts w:ascii="Arial" w:hAnsi="Arial" w:cs="Arial"/>
        </w:rPr>
        <w:t>Graue, E. (2015). Posicionamiento de la Academia Nacional de Medicina. En Fajardo, G., Santacruz, J. y C. Lavalle (Coords.),</w:t>
      </w:r>
      <w:r w:rsidRPr="00D55791">
        <w:rPr>
          <w:rFonts w:ascii="Arial" w:hAnsi="Arial" w:cs="Arial"/>
          <w:i/>
        </w:rPr>
        <w:t xml:space="preserve"> La formación de médicos especialistas en México. Documento de postura</w:t>
      </w:r>
      <w:r w:rsidRPr="00D55791">
        <w:rPr>
          <w:rFonts w:ascii="Arial" w:hAnsi="Arial" w:cs="Arial"/>
        </w:rPr>
        <w:t xml:space="preserve"> (pp. 235-243). México: Academia Nacional de Medicina de México y Consejo Nacional de Ciencia y Tecnología.</w:t>
      </w:r>
    </w:p>
    <w:p w14:paraId="13A09AF0" w14:textId="77777777" w:rsidR="00920C03" w:rsidRPr="00D55791" w:rsidRDefault="00920C03" w:rsidP="00920C03">
      <w:pPr>
        <w:pStyle w:val="Sinespaciado"/>
        <w:jc w:val="both"/>
        <w:rPr>
          <w:rFonts w:ascii="Arial" w:hAnsi="Arial" w:cs="Arial"/>
        </w:rPr>
      </w:pPr>
    </w:p>
    <w:p w14:paraId="136493F9" w14:textId="77777777" w:rsidR="00920C03" w:rsidRPr="00D55791" w:rsidRDefault="00920C03" w:rsidP="00920C03">
      <w:pPr>
        <w:pStyle w:val="Sinespaciado"/>
        <w:jc w:val="both"/>
        <w:rPr>
          <w:rFonts w:ascii="Arial" w:hAnsi="Arial" w:cs="Arial"/>
        </w:rPr>
      </w:pPr>
      <w:r w:rsidRPr="00D55791">
        <w:rPr>
          <w:rFonts w:ascii="Arial" w:hAnsi="Arial" w:cs="Arial"/>
        </w:rPr>
        <w:t xml:space="preserve">Gutiérrez, C. </w:t>
      </w:r>
      <w:r w:rsidRPr="00D55791">
        <w:rPr>
          <w:rFonts w:ascii="Arial" w:hAnsi="Arial" w:cs="Arial"/>
          <w:i/>
        </w:rPr>
        <w:t>et al.</w:t>
      </w:r>
      <w:r w:rsidRPr="00D55791">
        <w:rPr>
          <w:rFonts w:ascii="Arial" w:hAnsi="Arial" w:cs="Arial"/>
        </w:rPr>
        <w:t xml:space="preserve"> (2017). Factores relacionados con la elección de una especialidad en medicina. </w:t>
      </w:r>
      <w:r w:rsidRPr="00D55791">
        <w:rPr>
          <w:rFonts w:ascii="Arial" w:hAnsi="Arial" w:cs="Arial"/>
          <w:i/>
        </w:rPr>
        <w:t>Investigación en Educación Médica</w:t>
      </w:r>
      <w:r w:rsidRPr="00D55791">
        <w:rPr>
          <w:rFonts w:ascii="Arial" w:hAnsi="Arial" w:cs="Arial"/>
        </w:rPr>
        <w:t xml:space="preserve">, </w:t>
      </w:r>
      <w:r w:rsidRPr="00D55791">
        <w:rPr>
          <w:rFonts w:ascii="Arial" w:hAnsi="Arial" w:cs="Arial"/>
          <w:i/>
        </w:rPr>
        <w:t>6</w:t>
      </w:r>
      <w:r w:rsidRPr="00D55791">
        <w:rPr>
          <w:rFonts w:ascii="Arial" w:hAnsi="Arial" w:cs="Arial"/>
        </w:rPr>
        <w:t>(23), 206-214.</w:t>
      </w:r>
    </w:p>
    <w:p w14:paraId="148D866F" w14:textId="77777777" w:rsidR="00920C03" w:rsidRPr="00D55791" w:rsidRDefault="00920C03" w:rsidP="00920C03">
      <w:pPr>
        <w:pStyle w:val="Sinespaciado"/>
        <w:jc w:val="both"/>
        <w:rPr>
          <w:rFonts w:ascii="Arial" w:hAnsi="Arial" w:cs="Arial"/>
        </w:rPr>
      </w:pPr>
    </w:p>
    <w:p w14:paraId="146B1509" w14:textId="77777777" w:rsidR="00920C03" w:rsidRPr="00D55791" w:rsidRDefault="00920C03" w:rsidP="00920C03">
      <w:pPr>
        <w:pStyle w:val="Sinespaciado"/>
        <w:jc w:val="both"/>
        <w:rPr>
          <w:rFonts w:ascii="Arial" w:hAnsi="Arial" w:cs="Arial"/>
        </w:rPr>
      </w:pPr>
      <w:r w:rsidRPr="00D55791">
        <w:rPr>
          <w:rFonts w:ascii="Arial" w:hAnsi="Arial" w:cs="Arial"/>
        </w:rPr>
        <w:t xml:space="preserve">Heinze, G. </w:t>
      </w:r>
      <w:r w:rsidRPr="00D55791">
        <w:rPr>
          <w:rFonts w:ascii="Arial" w:hAnsi="Arial" w:cs="Arial"/>
          <w:i/>
        </w:rPr>
        <w:t>et al.</w:t>
      </w:r>
      <w:r w:rsidRPr="00D55791">
        <w:rPr>
          <w:rFonts w:ascii="Arial" w:hAnsi="Arial" w:cs="Arial"/>
        </w:rPr>
        <w:t xml:space="preserve"> (2018). Los médicos especialistas en México. </w:t>
      </w:r>
      <w:r w:rsidRPr="00D55791">
        <w:rPr>
          <w:rFonts w:ascii="Arial" w:hAnsi="Arial" w:cs="Arial"/>
          <w:i/>
        </w:rPr>
        <w:t>Gaceta Médica de México</w:t>
      </w:r>
      <w:r w:rsidRPr="00D55791">
        <w:rPr>
          <w:rFonts w:ascii="Arial" w:hAnsi="Arial" w:cs="Arial"/>
        </w:rPr>
        <w:t>, 154, 342-351.</w:t>
      </w:r>
    </w:p>
    <w:p w14:paraId="6B12C366" w14:textId="77777777" w:rsidR="00920C03" w:rsidRPr="00D55791" w:rsidRDefault="00920C03" w:rsidP="00920C03">
      <w:pPr>
        <w:pStyle w:val="Sinespaciado"/>
        <w:jc w:val="both"/>
        <w:rPr>
          <w:rFonts w:ascii="Arial" w:hAnsi="Arial" w:cs="Arial"/>
        </w:rPr>
      </w:pPr>
    </w:p>
    <w:p w14:paraId="49DF04AF" w14:textId="77777777" w:rsidR="00920C03" w:rsidRPr="00D55791" w:rsidRDefault="00920C03" w:rsidP="00920C03">
      <w:pPr>
        <w:pStyle w:val="Sinespaciado"/>
        <w:jc w:val="both"/>
        <w:rPr>
          <w:rFonts w:ascii="Arial" w:hAnsi="Arial" w:cs="Arial"/>
        </w:rPr>
      </w:pPr>
      <w:r w:rsidRPr="00D55791">
        <w:rPr>
          <w:rFonts w:ascii="Arial" w:hAnsi="Arial" w:cs="Arial"/>
        </w:rPr>
        <w:t xml:space="preserve">Hernández, E. </w:t>
      </w:r>
      <w:r w:rsidRPr="00D55791">
        <w:rPr>
          <w:rFonts w:ascii="Arial" w:hAnsi="Arial" w:cs="Arial"/>
          <w:i/>
        </w:rPr>
        <w:t xml:space="preserve"> et al.</w:t>
      </w:r>
      <w:r w:rsidRPr="00D55791">
        <w:rPr>
          <w:rFonts w:ascii="Arial" w:hAnsi="Arial" w:cs="Arial"/>
        </w:rPr>
        <w:t xml:space="preserve"> (2012). Análisis del equilibrio entre oferta y demanda de profesionistas en el período 2001-2009. En Hernández, E. (Coord.), </w:t>
      </w:r>
      <w:r w:rsidRPr="00D55791">
        <w:rPr>
          <w:rFonts w:ascii="Arial" w:hAnsi="Arial" w:cs="Arial"/>
          <w:i/>
        </w:rPr>
        <w:t>Mercado laboral de profesionistas en México. Diagnóstico (2000-2009) y prospectiva (2010-2020)</w:t>
      </w:r>
      <w:r w:rsidRPr="00D55791">
        <w:rPr>
          <w:rFonts w:ascii="Arial" w:hAnsi="Arial" w:cs="Arial"/>
        </w:rPr>
        <w:t xml:space="preserve"> (pp. 251-267). México: Asociación Nacional de Universidades e Instituciones de Educación Superior. </w:t>
      </w:r>
    </w:p>
    <w:p w14:paraId="0BC38552" w14:textId="77777777" w:rsidR="00920C03" w:rsidRPr="00D55791" w:rsidRDefault="00920C03" w:rsidP="00920C03">
      <w:pPr>
        <w:pStyle w:val="Sinespaciado"/>
        <w:jc w:val="both"/>
        <w:rPr>
          <w:rFonts w:ascii="Arial" w:hAnsi="Arial" w:cs="Arial"/>
        </w:rPr>
      </w:pPr>
      <w:r w:rsidRPr="00D55791">
        <w:rPr>
          <w:rFonts w:ascii="Arial" w:hAnsi="Arial" w:cs="Arial"/>
        </w:rPr>
        <w:t xml:space="preserve">INEGI (2016). </w:t>
      </w:r>
      <w:r w:rsidRPr="00D55791">
        <w:rPr>
          <w:rFonts w:ascii="Arial" w:hAnsi="Arial" w:cs="Arial"/>
          <w:i/>
        </w:rPr>
        <w:t>Encuesta Intercensal 2015</w:t>
      </w:r>
      <w:r w:rsidRPr="00D55791">
        <w:rPr>
          <w:rFonts w:ascii="Arial" w:hAnsi="Arial" w:cs="Arial"/>
        </w:rPr>
        <w:t xml:space="preserve">. INEGI. México. [En línea]. https://www.inegi.org.mx/programas/intercensal/2015/ [Consulta el 02 de febrero de 2019].  </w:t>
      </w:r>
    </w:p>
    <w:p w14:paraId="66DE42CC" w14:textId="77777777" w:rsidR="00920C03" w:rsidRPr="00D55791" w:rsidRDefault="00920C03" w:rsidP="00920C03">
      <w:pPr>
        <w:pStyle w:val="Sinespaciado"/>
        <w:jc w:val="both"/>
        <w:rPr>
          <w:rFonts w:ascii="Arial" w:hAnsi="Arial" w:cs="Arial"/>
        </w:rPr>
      </w:pPr>
      <w:r w:rsidRPr="00D55791">
        <w:rPr>
          <w:rFonts w:ascii="Arial" w:hAnsi="Arial" w:cs="Arial"/>
        </w:rPr>
        <w:lastRenderedPageBreak/>
        <w:t xml:space="preserve">INEGI (2018). </w:t>
      </w:r>
      <w:r w:rsidRPr="00D55791">
        <w:rPr>
          <w:rFonts w:ascii="Arial" w:hAnsi="Arial" w:cs="Arial"/>
          <w:i/>
        </w:rPr>
        <w:t>Salud en establecimientos particulares 2017</w:t>
      </w:r>
      <w:r w:rsidRPr="00D55791">
        <w:rPr>
          <w:rFonts w:ascii="Arial" w:hAnsi="Arial" w:cs="Arial"/>
        </w:rPr>
        <w:t xml:space="preserve">. INEGI. México.  [En línea]. https://www.inegi.org.mx/programas/salud/default.html#Datos_abiertos [Consulta el 8 de marzo de 2019]. </w:t>
      </w:r>
    </w:p>
    <w:p w14:paraId="77B58C29" w14:textId="77777777" w:rsidR="00920C03" w:rsidRPr="00D55791" w:rsidRDefault="00920C03" w:rsidP="00920C03">
      <w:pPr>
        <w:pStyle w:val="Sinespaciado"/>
        <w:jc w:val="both"/>
        <w:rPr>
          <w:rFonts w:ascii="Arial" w:hAnsi="Arial" w:cs="Arial"/>
        </w:rPr>
      </w:pPr>
    </w:p>
    <w:p w14:paraId="0ACEEAFF" w14:textId="77777777" w:rsidR="00920C03" w:rsidRPr="00D55791" w:rsidRDefault="00920C03" w:rsidP="00920C03">
      <w:pPr>
        <w:pStyle w:val="Sinespaciado"/>
        <w:jc w:val="both"/>
        <w:rPr>
          <w:rFonts w:ascii="Arial" w:hAnsi="Arial" w:cs="Arial"/>
        </w:rPr>
      </w:pPr>
      <w:r w:rsidRPr="00D55791">
        <w:rPr>
          <w:rFonts w:ascii="Arial" w:hAnsi="Arial" w:cs="Arial"/>
        </w:rPr>
        <w:t xml:space="preserve">INEGI (2019). </w:t>
      </w:r>
      <w:r w:rsidRPr="00D55791">
        <w:rPr>
          <w:rFonts w:ascii="Arial" w:hAnsi="Arial" w:cs="Arial"/>
          <w:i/>
        </w:rPr>
        <w:t>Defunciones generales en México 2017</w:t>
      </w:r>
      <w:r w:rsidRPr="00D55791">
        <w:rPr>
          <w:rFonts w:ascii="Arial" w:hAnsi="Arial" w:cs="Arial"/>
        </w:rPr>
        <w:t>. INEGI. México. [En línea]. https://www.inegi.org.mx/programas/mortalidad/ [Consulta el 05 de febrero de 2019].</w:t>
      </w:r>
    </w:p>
    <w:p w14:paraId="3F19F3E8" w14:textId="77777777" w:rsidR="00920C03" w:rsidRPr="00D55791" w:rsidRDefault="00920C03" w:rsidP="00920C03">
      <w:pPr>
        <w:pStyle w:val="Sinespaciado"/>
        <w:jc w:val="both"/>
        <w:rPr>
          <w:rFonts w:ascii="Arial" w:hAnsi="Arial" w:cs="Arial"/>
        </w:rPr>
      </w:pPr>
    </w:p>
    <w:p w14:paraId="61AED8C1" w14:textId="77777777" w:rsidR="00920C03" w:rsidRPr="00D55791" w:rsidRDefault="00920C03" w:rsidP="00920C03">
      <w:pPr>
        <w:pStyle w:val="Sinespaciado"/>
        <w:jc w:val="both"/>
        <w:rPr>
          <w:rFonts w:ascii="Arial" w:hAnsi="Arial" w:cs="Arial"/>
        </w:rPr>
      </w:pPr>
      <w:r w:rsidRPr="00D55791">
        <w:rPr>
          <w:rFonts w:ascii="Arial" w:hAnsi="Arial" w:cs="Arial"/>
        </w:rPr>
        <w:t xml:space="preserve">INEGI (2019a). </w:t>
      </w:r>
      <w:r w:rsidRPr="00D55791">
        <w:rPr>
          <w:rFonts w:ascii="Arial" w:hAnsi="Arial" w:cs="Arial"/>
          <w:i/>
        </w:rPr>
        <w:t>Encuesta Nacional de Ocupación y Empleo (ENOE), 4to trimestre de 2018</w:t>
      </w:r>
      <w:r w:rsidRPr="00D55791">
        <w:rPr>
          <w:rFonts w:ascii="Arial" w:hAnsi="Arial" w:cs="Arial"/>
        </w:rPr>
        <w:t xml:space="preserve">. INEGI. México. [En línea]. </w:t>
      </w:r>
      <w:r w:rsidRPr="00EE48E5">
        <w:rPr>
          <w:rFonts w:ascii="Arial" w:hAnsi="Arial" w:cs="Arial"/>
        </w:rPr>
        <w:t>https://www.inegi.org.mx/programas/enoe/15ymas/default.html</w:t>
      </w:r>
      <w:r w:rsidRPr="00D55791">
        <w:rPr>
          <w:rFonts w:ascii="Arial" w:hAnsi="Arial" w:cs="Arial"/>
        </w:rPr>
        <w:t xml:space="preserve"> [Consulta el 26 de marzo de 2019].</w:t>
      </w:r>
    </w:p>
    <w:p w14:paraId="0BBE5D47" w14:textId="77777777" w:rsidR="00920C03" w:rsidRPr="00D55791" w:rsidRDefault="00920C03" w:rsidP="00920C03">
      <w:pPr>
        <w:pStyle w:val="Sinespaciado"/>
        <w:jc w:val="both"/>
        <w:rPr>
          <w:rFonts w:ascii="Arial" w:hAnsi="Arial" w:cs="Arial"/>
        </w:rPr>
      </w:pPr>
    </w:p>
    <w:p w14:paraId="210D1542" w14:textId="77777777" w:rsidR="00920C03" w:rsidRPr="00D55791" w:rsidRDefault="00920C03" w:rsidP="00920C03">
      <w:pPr>
        <w:pStyle w:val="Sinespaciado"/>
        <w:jc w:val="both"/>
        <w:rPr>
          <w:rFonts w:ascii="Arial" w:hAnsi="Arial" w:cs="Arial"/>
        </w:rPr>
      </w:pPr>
      <w:r w:rsidRPr="00D55791">
        <w:rPr>
          <w:rFonts w:ascii="Arial" w:hAnsi="Arial" w:cs="Arial"/>
        </w:rPr>
        <w:t xml:space="preserve">Instituto Nacional de Salud Pública (2017). </w:t>
      </w:r>
      <w:r w:rsidRPr="00D55791">
        <w:rPr>
          <w:rFonts w:ascii="Arial" w:hAnsi="Arial" w:cs="Arial"/>
          <w:i/>
        </w:rPr>
        <w:t xml:space="preserve">Brechas en la disponibilidad de médicos y enfermeras especialistas en el sistema nacional de salud. </w:t>
      </w:r>
      <w:r w:rsidRPr="00D55791">
        <w:rPr>
          <w:rFonts w:ascii="Arial" w:hAnsi="Arial" w:cs="Arial"/>
        </w:rPr>
        <w:t>México. [En línea]. http://www.cifrhs.salud.gob.mx/site1/residencias/brechas_medico_enf_esp.pdf [Consulta el 14 de diciembre de 2018].</w:t>
      </w:r>
    </w:p>
    <w:p w14:paraId="0DF53BC1" w14:textId="77777777" w:rsidR="00920C03" w:rsidRPr="00D55791" w:rsidRDefault="00920C03" w:rsidP="00920C03">
      <w:pPr>
        <w:pStyle w:val="Sinespaciado"/>
        <w:jc w:val="both"/>
        <w:rPr>
          <w:rFonts w:ascii="Arial" w:hAnsi="Arial" w:cs="Arial"/>
        </w:rPr>
      </w:pPr>
    </w:p>
    <w:p w14:paraId="14020620" w14:textId="77777777" w:rsidR="00920C03" w:rsidRPr="00D55791" w:rsidRDefault="00920C03" w:rsidP="00920C03">
      <w:pPr>
        <w:pStyle w:val="Sinespaciado"/>
        <w:jc w:val="both"/>
        <w:rPr>
          <w:rFonts w:ascii="Arial" w:hAnsi="Arial" w:cs="Arial"/>
        </w:rPr>
      </w:pPr>
      <w:r w:rsidRPr="00D55791">
        <w:rPr>
          <w:rFonts w:ascii="Arial" w:hAnsi="Arial" w:cs="Arial"/>
          <w:lang w:val="en-US"/>
        </w:rPr>
        <w:t xml:space="preserve">Knoll, M. (1997). The project method: Its vocational education origin and international development. </w:t>
      </w:r>
      <w:r w:rsidRPr="00D55791">
        <w:rPr>
          <w:rFonts w:ascii="Arial" w:hAnsi="Arial" w:cs="Arial"/>
          <w:i/>
        </w:rPr>
        <w:t>Journal of Industrial Teacher Education</w:t>
      </w:r>
      <w:r w:rsidRPr="00D55791">
        <w:rPr>
          <w:rFonts w:ascii="Arial" w:hAnsi="Arial" w:cs="Arial"/>
        </w:rPr>
        <w:t xml:space="preserve">, </w:t>
      </w:r>
      <w:r w:rsidRPr="00D55791">
        <w:rPr>
          <w:rFonts w:ascii="Arial" w:hAnsi="Arial" w:cs="Arial"/>
          <w:i/>
        </w:rPr>
        <w:t>34</w:t>
      </w:r>
      <w:r w:rsidRPr="00D55791">
        <w:rPr>
          <w:rFonts w:ascii="Arial" w:hAnsi="Arial" w:cs="Arial"/>
        </w:rPr>
        <w:t>(3), 59-80.</w:t>
      </w:r>
    </w:p>
    <w:p w14:paraId="2CB1B725" w14:textId="77777777" w:rsidR="00920C03" w:rsidRPr="00D55791" w:rsidRDefault="00920C03" w:rsidP="00920C03">
      <w:pPr>
        <w:pStyle w:val="Sinespaciado"/>
        <w:jc w:val="both"/>
        <w:rPr>
          <w:rFonts w:ascii="Arial" w:hAnsi="Arial" w:cs="Arial"/>
        </w:rPr>
      </w:pPr>
    </w:p>
    <w:p w14:paraId="38CBBECA" w14:textId="77777777" w:rsidR="00920C03" w:rsidRPr="00D55791" w:rsidRDefault="00920C03" w:rsidP="00920C03">
      <w:pPr>
        <w:jc w:val="both"/>
        <w:rPr>
          <w:rFonts w:ascii="Arial" w:hAnsi="Arial" w:cs="Arial"/>
        </w:rPr>
      </w:pPr>
      <w:r w:rsidRPr="00D55791">
        <w:rPr>
          <w:rFonts w:ascii="Arial" w:hAnsi="Arial" w:cs="Arial"/>
        </w:rPr>
        <w:t>Ley General de Educación. Diario Oficial de la Federación, Ciudad de México, México, 19 de enero de 2018.</w:t>
      </w:r>
    </w:p>
    <w:p w14:paraId="7B6315A2" w14:textId="77777777" w:rsidR="00920C03" w:rsidRPr="00D55791" w:rsidRDefault="00920C03" w:rsidP="00920C03">
      <w:pPr>
        <w:pStyle w:val="Sinespaciado"/>
        <w:jc w:val="both"/>
        <w:rPr>
          <w:rFonts w:ascii="Arial" w:hAnsi="Arial" w:cs="Arial"/>
          <w:lang w:val="en-US"/>
        </w:rPr>
      </w:pPr>
      <w:r w:rsidRPr="00D55791">
        <w:rPr>
          <w:rFonts w:ascii="Arial" w:hAnsi="Arial" w:cs="Arial"/>
        </w:rPr>
        <w:t xml:space="preserve">Lozano, R. </w:t>
      </w:r>
      <w:r w:rsidRPr="00D55791">
        <w:rPr>
          <w:rFonts w:ascii="Arial" w:hAnsi="Arial" w:cs="Arial"/>
          <w:i/>
        </w:rPr>
        <w:t xml:space="preserve"> et al.</w:t>
      </w:r>
      <w:r w:rsidRPr="00D55791">
        <w:rPr>
          <w:rFonts w:ascii="Arial" w:hAnsi="Arial" w:cs="Arial"/>
        </w:rPr>
        <w:t xml:space="preserve"> (2013). La carga de enfermedad, lesiones, factores de riesgo y desafíos para el sistema de salud en México. </w:t>
      </w:r>
      <w:r w:rsidRPr="00D55791">
        <w:rPr>
          <w:rFonts w:ascii="Arial" w:hAnsi="Arial" w:cs="Arial"/>
          <w:i/>
          <w:lang w:val="en-US"/>
        </w:rPr>
        <w:t>Salud Pública de México</w:t>
      </w:r>
      <w:r w:rsidRPr="00D55791">
        <w:rPr>
          <w:rFonts w:ascii="Arial" w:hAnsi="Arial" w:cs="Arial"/>
          <w:lang w:val="en-US"/>
        </w:rPr>
        <w:t xml:space="preserve">, </w:t>
      </w:r>
      <w:r w:rsidRPr="00D55791">
        <w:rPr>
          <w:rFonts w:ascii="Arial" w:hAnsi="Arial" w:cs="Arial"/>
          <w:i/>
          <w:lang w:val="en-US"/>
        </w:rPr>
        <w:t>55</w:t>
      </w:r>
      <w:r w:rsidRPr="00D55791">
        <w:rPr>
          <w:rFonts w:ascii="Arial" w:hAnsi="Arial" w:cs="Arial"/>
          <w:lang w:val="en-US"/>
        </w:rPr>
        <w:t>(6), 580-594.</w:t>
      </w:r>
    </w:p>
    <w:p w14:paraId="2341E848" w14:textId="77777777" w:rsidR="00920C03" w:rsidRPr="00D55791" w:rsidRDefault="00920C03" w:rsidP="00920C03">
      <w:pPr>
        <w:pStyle w:val="Sinespaciado"/>
        <w:jc w:val="both"/>
        <w:rPr>
          <w:rFonts w:ascii="Arial" w:hAnsi="Arial" w:cs="Arial"/>
          <w:lang w:val="en-US"/>
        </w:rPr>
      </w:pPr>
    </w:p>
    <w:p w14:paraId="3278D285" w14:textId="77777777" w:rsidR="00920C03" w:rsidRPr="00D55791" w:rsidRDefault="00920C03" w:rsidP="00920C03">
      <w:pPr>
        <w:pStyle w:val="Sinespaciado"/>
        <w:jc w:val="both"/>
        <w:rPr>
          <w:rFonts w:ascii="Arial" w:hAnsi="Arial" w:cs="Arial"/>
        </w:rPr>
      </w:pPr>
      <w:r w:rsidRPr="00D55791">
        <w:rPr>
          <w:rFonts w:ascii="Arial" w:hAnsi="Arial" w:cs="Arial"/>
          <w:lang w:val="en-US"/>
        </w:rPr>
        <w:t>Meara, J.</w:t>
      </w:r>
      <w:r w:rsidRPr="00D55791">
        <w:rPr>
          <w:rFonts w:ascii="Arial" w:hAnsi="Arial" w:cs="Arial"/>
          <w:i/>
          <w:lang w:val="en-US"/>
        </w:rPr>
        <w:t>et al.</w:t>
      </w:r>
      <w:r w:rsidRPr="00D55791">
        <w:rPr>
          <w:rFonts w:ascii="Arial" w:hAnsi="Arial" w:cs="Arial"/>
          <w:lang w:val="en-US"/>
        </w:rPr>
        <w:t xml:space="preserve"> (2015). Global Surgery 2030: Evidence and solutions for achieving healt, welfare, and economic development. </w:t>
      </w:r>
      <w:r w:rsidRPr="00D55791">
        <w:rPr>
          <w:rFonts w:ascii="Arial" w:hAnsi="Arial" w:cs="Arial"/>
          <w:i/>
        </w:rPr>
        <w:t>The Lancet</w:t>
      </w:r>
      <w:r w:rsidRPr="00D55791">
        <w:rPr>
          <w:rFonts w:ascii="Arial" w:hAnsi="Arial" w:cs="Arial"/>
        </w:rPr>
        <w:t xml:space="preserve">, </w:t>
      </w:r>
      <w:r w:rsidRPr="00D55791">
        <w:rPr>
          <w:rFonts w:ascii="Arial" w:hAnsi="Arial" w:cs="Arial"/>
          <w:i/>
        </w:rPr>
        <w:t>386</w:t>
      </w:r>
      <w:r w:rsidRPr="00D55791">
        <w:rPr>
          <w:rFonts w:ascii="Arial" w:hAnsi="Arial" w:cs="Arial"/>
        </w:rPr>
        <w:t>(9993), 569-624.</w:t>
      </w:r>
    </w:p>
    <w:p w14:paraId="60311347" w14:textId="77777777" w:rsidR="00920C03" w:rsidRPr="00D55791" w:rsidRDefault="00920C03" w:rsidP="00920C03">
      <w:pPr>
        <w:pStyle w:val="Sinespaciado"/>
        <w:jc w:val="both"/>
        <w:rPr>
          <w:rFonts w:ascii="Arial" w:hAnsi="Arial" w:cs="Arial"/>
        </w:rPr>
      </w:pPr>
    </w:p>
    <w:p w14:paraId="55BD7843" w14:textId="77777777" w:rsidR="00920C03" w:rsidRPr="00D55791" w:rsidRDefault="00920C03" w:rsidP="00920C03">
      <w:pPr>
        <w:pStyle w:val="Sinespaciado"/>
        <w:jc w:val="both"/>
        <w:rPr>
          <w:rFonts w:ascii="Arial" w:hAnsi="Arial" w:cs="Arial"/>
        </w:rPr>
      </w:pPr>
      <w:r w:rsidRPr="00D55791">
        <w:rPr>
          <w:rFonts w:ascii="Arial" w:hAnsi="Arial" w:cs="Arial"/>
        </w:rPr>
        <w:t xml:space="preserve">Mina, A. (2010). Evolución de la mortalidad: Pasado, presente y futuro. En B. García y M. Ordorica (Coords.), </w:t>
      </w:r>
      <w:r w:rsidRPr="00D55791">
        <w:rPr>
          <w:rFonts w:ascii="Arial" w:hAnsi="Arial" w:cs="Arial"/>
          <w:i/>
        </w:rPr>
        <w:t>Los grandes problemas de México: Población (</w:t>
      </w:r>
      <w:r w:rsidRPr="00D55791">
        <w:rPr>
          <w:rFonts w:ascii="Arial" w:hAnsi="Arial" w:cs="Arial"/>
        </w:rPr>
        <w:t>pp.79-104)</w:t>
      </w:r>
      <w:r w:rsidRPr="00D55791">
        <w:rPr>
          <w:rFonts w:ascii="Arial" w:hAnsi="Arial" w:cs="Arial"/>
          <w:i/>
        </w:rPr>
        <w:t>.</w:t>
      </w:r>
      <w:r w:rsidRPr="00D55791">
        <w:rPr>
          <w:rFonts w:ascii="Arial" w:hAnsi="Arial" w:cs="Arial"/>
        </w:rPr>
        <w:t xml:space="preserve"> México: El Colegio de México.</w:t>
      </w:r>
    </w:p>
    <w:p w14:paraId="60BB8AA3" w14:textId="77777777" w:rsidR="00920C03" w:rsidRPr="00D55791" w:rsidRDefault="00920C03" w:rsidP="00920C03">
      <w:pPr>
        <w:pStyle w:val="Sinespaciado"/>
        <w:jc w:val="both"/>
        <w:rPr>
          <w:rFonts w:ascii="Arial" w:hAnsi="Arial" w:cs="Arial"/>
        </w:rPr>
      </w:pPr>
    </w:p>
    <w:p w14:paraId="15C2896D" w14:textId="77777777" w:rsidR="00920C03" w:rsidRPr="00D55791" w:rsidRDefault="00920C03" w:rsidP="00920C03">
      <w:pPr>
        <w:pStyle w:val="Sinespaciado"/>
        <w:jc w:val="both"/>
        <w:rPr>
          <w:rFonts w:ascii="Arial" w:hAnsi="Arial" w:cs="Arial"/>
        </w:rPr>
      </w:pPr>
      <w:r w:rsidRPr="00D55791">
        <w:rPr>
          <w:rFonts w:ascii="Arial" w:hAnsi="Arial" w:cs="Arial"/>
        </w:rPr>
        <w:t xml:space="preserve">Negrete, M. (2003). El envejecimiento poblacional en la Ciudad de México: Evolución y pautas de distribución espacial entre 1970 y 2000. </w:t>
      </w:r>
      <w:r w:rsidRPr="00D55791">
        <w:rPr>
          <w:rFonts w:ascii="Arial" w:hAnsi="Arial" w:cs="Arial"/>
          <w:i/>
        </w:rPr>
        <w:t>Papeles de Población</w:t>
      </w:r>
      <w:r w:rsidRPr="00D55791">
        <w:rPr>
          <w:rFonts w:ascii="Arial" w:hAnsi="Arial" w:cs="Arial"/>
        </w:rPr>
        <w:t xml:space="preserve">, </w:t>
      </w:r>
      <w:r w:rsidRPr="00D55791">
        <w:rPr>
          <w:rFonts w:ascii="Arial" w:hAnsi="Arial" w:cs="Arial"/>
          <w:i/>
        </w:rPr>
        <w:t>9</w:t>
      </w:r>
      <w:r w:rsidRPr="00D55791">
        <w:rPr>
          <w:rFonts w:ascii="Arial" w:hAnsi="Arial" w:cs="Arial"/>
        </w:rPr>
        <w:t>(37), 107-127.</w:t>
      </w:r>
    </w:p>
    <w:p w14:paraId="631ED7E3" w14:textId="77777777" w:rsidR="00920C03" w:rsidRPr="00D55791" w:rsidRDefault="00920C03" w:rsidP="00920C03">
      <w:pPr>
        <w:pStyle w:val="Sinespaciado"/>
        <w:jc w:val="both"/>
        <w:rPr>
          <w:rFonts w:ascii="Arial" w:hAnsi="Arial" w:cs="Arial"/>
        </w:rPr>
      </w:pPr>
    </w:p>
    <w:p w14:paraId="314D0FA2" w14:textId="77777777" w:rsidR="00920C03" w:rsidRPr="00D55791" w:rsidRDefault="00920C03" w:rsidP="00920C03">
      <w:pPr>
        <w:pStyle w:val="Sinespaciado"/>
        <w:jc w:val="both"/>
        <w:rPr>
          <w:rFonts w:ascii="Arial" w:hAnsi="Arial" w:cs="Arial"/>
        </w:rPr>
      </w:pPr>
      <w:r w:rsidRPr="00D55791">
        <w:rPr>
          <w:rFonts w:ascii="Arial" w:hAnsi="Arial" w:cs="Arial"/>
        </w:rPr>
        <w:t xml:space="preserve">Nigenda, G. </w:t>
      </w:r>
      <w:r w:rsidRPr="00D55791">
        <w:rPr>
          <w:rFonts w:ascii="Arial" w:hAnsi="Arial" w:cs="Arial"/>
          <w:i/>
        </w:rPr>
        <w:t>et al</w:t>
      </w:r>
      <w:r w:rsidRPr="00D55791">
        <w:rPr>
          <w:rFonts w:ascii="Arial" w:hAnsi="Arial" w:cs="Arial"/>
        </w:rPr>
        <w:t xml:space="preserve">. (2016). Eficiencia de los recursos humanos en salud: Una aproximación a su análisis en México. </w:t>
      </w:r>
      <w:r w:rsidRPr="00D55791">
        <w:rPr>
          <w:rFonts w:ascii="Arial" w:hAnsi="Arial" w:cs="Arial"/>
          <w:i/>
        </w:rPr>
        <w:t>Salud Pública de México</w:t>
      </w:r>
      <w:r w:rsidRPr="00D55791">
        <w:rPr>
          <w:rFonts w:ascii="Arial" w:hAnsi="Arial" w:cs="Arial"/>
        </w:rPr>
        <w:t xml:space="preserve">, </w:t>
      </w:r>
      <w:r w:rsidRPr="00D55791">
        <w:rPr>
          <w:rFonts w:ascii="Arial" w:hAnsi="Arial" w:cs="Arial"/>
          <w:i/>
        </w:rPr>
        <w:t>58</w:t>
      </w:r>
      <w:r w:rsidRPr="00D55791">
        <w:rPr>
          <w:rFonts w:ascii="Arial" w:hAnsi="Arial" w:cs="Arial"/>
        </w:rPr>
        <w:t>(5), 533-542.</w:t>
      </w:r>
    </w:p>
    <w:p w14:paraId="745D9077" w14:textId="77777777" w:rsidR="00920C03" w:rsidRPr="00D55791" w:rsidRDefault="00920C03" w:rsidP="00920C03">
      <w:pPr>
        <w:pStyle w:val="Sinespaciado"/>
        <w:jc w:val="both"/>
        <w:rPr>
          <w:rFonts w:ascii="Arial" w:hAnsi="Arial" w:cs="Arial"/>
        </w:rPr>
      </w:pPr>
    </w:p>
    <w:p w14:paraId="447C2489" w14:textId="77777777" w:rsidR="00920C03" w:rsidRPr="00D55791" w:rsidRDefault="00920C03" w:rsidP="00920C03">
      <w:pPr>
        <w:pStyle w:val="Sinespaciado"/>
        <w:jc w:val="both"/>
        <w:rPr>
          <w:rFonts w:ascii="Arial" w:hAnsi="Arial" w:cs="Arial"/>
        </w:rPr>
      </w:pPr>
      <w:r w:rsidRPr="00D55791">
        <w:rPr>
          <w:rFonts w:ascii="Arial" w:hAnsi="Arial" w:cs="Arial"/>
        </w:rPr>
        <w:t>Norma Oficial Mexicana NOM 170-SSA1-1998, Para la práctica de Anestesiología. Diario Oficial de la Federación, Ciudad de México, México, 23 de marzo de 2012.</w:t>
      </w:r>
    </w:p>
    <w:p w14:paraId="6992669F" w14:textId="77777777" w:rsidR="00920C03" w:rsidRPr="00D55791" w:rsidRDefault="00920C03" w:rsidP="00920C03">
      <w:pPr>
        <w:pStyle w:val="Sinespaciado"/>
        <w:jc w:val="both"/>
        <w:rPr>
          <w:rFonts w:ascii="Arial" w:hAnsi="Arial" w:cs="Arial"/>
          <w:b/>
        </w:rPr>
      </w:pPr>
      <w:r w:rsidRPr="00D55791">
        <w:rPr>
          <w:rFonts w:ascii="Arial" w:hAnsi="Arial" w:cs="Arial"/>
        </w:rPr>
        <w:t xml:space="preserve"> </w:t>
      </w:r>
    </w:p>
    <w:p w14:paraId="3077CD36" w14:textId="77777777" w:rsidR="00920C03" w:rsidRPr="00D55791" w:rsidRDefault="00920C03" w:rsidP="00920C03">
      <w:pPr>
        <w:pStyle w:val="Sinespaciado"/>
        <w:jc w:val="both"/>
        <w:rPr>
          <w:rFonts w:ascii="Arial" w:hAnsi="Arial" w:cs="Arial"/>
        </w:rPr>
      </w:pPr>
      <w:r w:rsidRPr="00D55791">
        <w:rPr>
          <w:rFonts w:ascii="Arial" w:hAnsi="Arial" w:cs="Arial"/>
        </w:rPr>
        <w:t>Norma Oficial Mexicana NOM-001-SSA3-2012, Educación en salud. Para la organización y funcionamiento de residencias médicas.</w:t>
      </w:r>
      <w:r w:rsidRPr="00D55791">
        <w:rPr>
          <w:rFonts w:ascii="Arial" w:hAnsi="Arial" w:cs="Arial"/>
          <w:b/>
        </w:rPr>
        <w:t xml:space="preserve"> </w:t>
      </w:r>
      <w:r w:rsidRPr="00D55791">
        <w:rPr>
          <w:rFonts w:ascii="Arial" w:hAnsi="Arial" w:cs="Arial"/>
        </w:rPr>
        <w:t>Diario Oficial de la Federación, Ciudad de México, México, 04 de enero de 2013.</w:t>
      </w:r>
    </w:p>
    <w:p w14:paraId="7F085639" w14:textId="77777777" w:rsidR="00920C03" w:rsidRPr="00D55791" w:rsidRDefault="00920C03" w:rsidP="00920C03">
      <w:pPr>
        <w:pStyle w:val="Sinespaciado"/>
        <w:jc w:val="both"/>
        <w:rPr>
          <w:rFonts w:ascii="Arial" w:hAnsi="Arial" w:cs="Arial"/>
          <w:b/>
        </w:rPr>
      </w:pPr>
    </w:p>
    <w:p w14:paraId="7DE0BF17" w14:textId="77777777" w:rsidR="00920C03" w:rsidRPr="00D55791" w:rsidRDefault="00920C03" w:rsidP="00920C03">
      <w:pPr>
        <w:pStyle w:val="Sinespaciado"/>
        <w:jc w:val="both"/>
        <w:rPr>
          <w:rFonts w:ascii="Arial" w:hAnsi="Arial" w:cs="Arial"/>
        </w:rPr>
      </w:pPr>
      <w:r w:rsidRPr="00D55791">
        <w:rPr>
          <w:rFonts w:ascii="Arial" w:hAnsi="Arial" w:cs="Arial"/>
        </w:rPr>
        <w:t>Norma Oficial Mexicana NOM-004-SSA3-2012, Del expediente clínico. Diario Oficial de la Federación, Ciudad de México, México, 29 de junio de 2012.</w:t>
      </w:r>
    </w:p>
    <w:p w14:paraId="320FD542" w14:textId="77777777" w:rsidR="00920C03" w:rsidRPr="00D55791" w:rsidRDefault="00920C03" w:rsidP="00920C03">
      <w:pPr>
        <w:pStyle w:val="Sinespaciado"/>
        <w:jc w:val="both"/>
        <w:rPr>
          <w:rFonts w:ascii="Arial" w:hAnsi="Arial" w:cs="Arial"/>
        </w:rPr>
      </w:pPr>
    </w:p>
    <w:p w14:paraId="000C5511" w14:textId="77777777" w:rsidR="00D77A89" w:rsidRDefault="00D77A89" w:rsidP="00920C03">
      <w:pPr>
        <w:pStyle w:val="Sinespaciado"/>
        <w:jc w:val="both"/>
        <w:rPr>
          <w:rFonts w:ascii="Arial" w:hAnsi="Arial" w:cs="Arial"/>
        </w:rPr>
      </w:pPr>
    </w:p>
    <w:p w14:paraId="54EF9B02" w14:textId="77777777" w:rsidR="00D77A89" w:rsidRDefault="00D77A89" w:rsidP="00920C03">
      <w:pPr>
        <w:pStyle w:val="Sinespaciado"/>
        <w:jc w:val="both"/>
        <w:rPr>
          <w:rFonts w:ascii="Arial" w:hAnsi="Arial" w:cs="Arial"/>
        </w:rPr>
      </w:pPr>
    </w:p>
    <w:p w14:paraId="24752137" w14:textId="183C1B4A" w:rsidR="00920C03" w:rsidRPr="00D55791" w:rsidRDefault="00920C03" w:rsidP="00920C03">
      <w:pPr>
        <w:pStyle w:val="Sinespaciado"/>
        <w:jc w:val="both"/>
        <w:rPr>
          <w:rFonts w:ascii="Arial" w:hAnsi="Arial" w:cs="Arial"/>
        </w:rPr>
      </w:pPr>
      <w:r w:rsidRPr="00D55791">
        <w:rPr>
          <w:rFonts w:ascii="Arial" w:hAnsi="Arial" w:cs="Arial"/>
        </w:rPr>
        <w:lastRenderedPageBreak/>
        <w:t>Norma Oficial Mexicana NOM-016-SSA3-2012, Que establece las características mínimas de infraestructura y equipamiento de hospitales y consultorios de atención médica especializada. Diario Oficial de la Federación, Ciudad de México, México, 08 de enero de 2013.</w:t>
      </w:r>
    </w:p>
    <w:p w14:paraId="3C880576" w14:textId="77777777" w:rsidR="00920C03" w:rsidRPr="00D55791" w:rsidRDefault="00920C03" w:rsidP="00920C03">
      <w:pPr>
        <w:pStyle w:val="Sinespaciado"/>
        <w:jc w:val="both"/>
        <w:rPr>
          <w:rFonts w:ascii="Arial" w:hAnsi="Arial" w:cs="Arial"/>
        </w:rPr>
      </w:pPr>
    </w:p>
    <w:p w14:paraId="49464879" w14:textId="77777777" w:rsidR="00920C03" w:rsidRPr="00D55791" w:rsidRDefault="00920C03" w:rsidP="00920C03">
      <w:pPr>
        <w:pStyle w:val="Sinespaciado"/>
        <w:jc w:val="both"/>
        <w:rPr>
          <w:rFonts w:ascii="Arial" w:hAnsi="Arial" w:cs="Arial"/>
        </w:rPr>
      </w:pPr>
      <w:r w:rsidRPr="00D55791">
        <w:rPr>
          <w:rFonts w:ascii="Arial" w:hAnsi="Arial" w:cs="Arial"/>
        </w:rPr>
        <w:t>Norma Oficial Mexicana NOM-027-SSA3-2013, Regulación de los servicios de salud. Que establece los criterios de funcionamiento y atención en los servicios de urgencias de los establecimientos para la atención médica. Diario Oficial de la Federación, Ciudad de México, México, 04 de septiembre de 2013.</w:t>
      </w:r>
    </w:p>
    <w:p w14:paraId="2857242C" w14:textId="77777777" w:rsidR="00920C03" w:rsidRPr="00D55791" w:rsidRDefault="00920C03" w:rsidP="00920C03">
      <w:pPr>
        <w:pStyle w:val="Sinespaciado"/>
        <w:jc w:val="both"/>
        <w:rPr>
          <w:rFonts w:ascii="Arial" w:hAnsi="Arial" w:cs="Arial"/>
          <w:b/>
        </w:rPr>
      </w:pPr>
    </w:p>
    <w:p w14:paraId="32137A23" w14:textId="77777777" w:rsidR="00920C03" w:rsidRPr="00D55791" w:rsidRDefault="00920C03" w:rsidP="00920C03">
      <w:pPr>
        <w:pStyle w:val="Sinespaciado"/>
        <w:jc w:val="both"/>
        <w:rPr>
          <w:rFonts w:ascii="Arial" w:hAnsi="Arial" w:cs="Arial"/>
        </w:rPr>
      </w:pPr>
      <w:r w:rsidRPr="00D55791">
        <w:rPr>
          <w:rFonts w:ascii="Arial" w:hAnsi="Arial" w:cs="Arial"/>
          <w:lang w:val="en-US"/>
        </w:rPr>
        <w:t xml:space="preserve">OCDE (2017). </w:t>
      </w:r>
      <w:r w:rsidRPr="00D55791">
        <w:rPr>
          <w:rFonts w:ascii="Arial" w:hAnsi="Arial" w:cs="Arial"/>
          <w:i/>
          <w:lang w:val="en-US"/>
        </w:rPr>
        <w:t>Health at a Glance 2017: OECD Indicators</w:t>
      </w:r>
      <w:r w:rsidRPr="00D55791">
        <w:rPr>
          <w:rFonts w:ascii="Arial" w:hAnsi="Arial" w:cs="Arial"/>
          <w:lang w:val="en-US"/>
        </w:rPr>
        <w:t xml:space="preserve">. </w:t>
      </w:r>
      <w:r w:rsidRPr="00D55791">
        <w:rPr>
          <w:rFonts w:ascii="Arial" w:hAnsi="Arial" w:cs="Arial"/>
        </w:rPr>
        <w:t xml:space="preserve">Francia: OCDE Publicaciones. </w:t>
      </w:r>
    </w:p>
    <w:p w14:paraId="30415580" w14:textId="77777777" w:rsidR="00920C03" w:rsidRPr="00D55791" w:rsidRDefault="00920C03" w:rsidP="00920C03">
      <w:pPr>
        <w:pStyle w:val="Sinespaciado"/>
        <w:jc w:val="both"/>
        <w:rPr>
          <w:rFonts w:ascii="Arial" w:hAnsi="Arial" w:cs="Arial"/>
        </w:rPr>
      </w:pPr>
      <w:r w:rsidRPr="00D55791">
        <w:rPr>
          <w:rFonts w:ascii="Arial" w:hAnsi="Arial" w:cs="Arial"/>
        </w:rPr>
        <w:t xml:space="preserve">Ordorica, M. (2010). Las proyecciones de población hasta mitad del siglo XXI.  En B. García y M. Ordorica (Coords.), </w:t>
      </w:r>
      <w:r w:rsidRPr="00D55791">
        <w:rPr>
          <w:rFonts w:ascii="Arial" w:hAnsi="Arial" w:cs="Arial"/>
          <w:i/>
        </w:rPr>
        <w:t>Los grandes problemas de México: Población</w:t>
      </w:r>
      <w:r w:rsidRPr="00D55791">
        <w:rPr>
          <w:rFonts w:ascii="Arial" w:hAnsi="Arial" w:cs="Arial"/>
        </w:rPr>
        <w:t xml:space="preserve"> (pp.29-52). México: El Colegio de México.</w:t>
      </w:r>
    </w:p>
    <w:p w14:paraId="5579DF99" w14:textId="77777777" w:rsidR="00920C03" w:rsidRPr="00D55791" w:rsidRDefault="00920C03" w:rsidP="00920C03">
      <w:pPr>
        <w:pStyle w:val="Sinespaciado"/>
        <w:jc w:val="both"/>
        <w:rPr>
          <w:rFonts w:ascii="Arial" w:hAnsi="Arial" w:cs="Arial"/>
        </w:rPr>
      </w:pPr>
    </w:p>
    <w:p w14:paraId="3F83D117" w14:textId="77777777" w:rsidR="00920C03" w:rsidRPr="00D55791" w:rsidRDefault="00920C03" w:rsidP="00920C03">
      <w:pPr>
        <w:pStyle w:val="Sinespaciado"/>
        <w:jc w:val="both"/>
        <w:rPr>
          <w:rFonts w:ascii="Arial" w:hAnsi="Arial" w:cs="Arial"/>
        </w:rPr>
      </w:pPr>
      <w:r w:rsidRPr="00D55791">
        <w:rPr>
          <w:rFonts w:ascii="Arial" w:hAnsi="Arial" w:cs="Arial"/>
        </w:rPr>
        <w:t xml:space="preserve">Ortiz, M. y L. Gerónimo (2008). El envejecimiento en México. Aspectos territoriales y repercusiones sociales. </w:t>
      </w:r>
      <w:r w:rsidRPr="00D55791">
        <w:rPr>
          <w:rFonts w:ascii="Arial" w:hAnsi="Arial" w:cs="Arial"/>
          <w:i/>
        </w:rPr>
        <w:t>Trayectorias</w:t>
      </w:r>
      <w:r w:rsidRPr="00D55791">
        <w:rPr>
          <w:rFonts w:ascii="Arial" w:hAnsi="Arial" w:cs="Arial"/>
        </w:rPr>
        <w:t xml:space="preserve">, </w:t>
      </w:r>
      <w:r w:rsidRPr="00D55791">
        <w:rPr>
          <w:rFonts w:ascii="Arial" w:hAnsi="Arial" w:cs="Arial"/>
          <w:i/>
        </w:rPr>
        <w:t>10</w:t>
      </w:r>
      <w:r w:rsidRPr="00D55791">
        <w:rPr>
          <w:rFonts w:ascii="Arial" w:hAnsi="Arial" w:cs="Arial"/>
        </w:rPr>
        <w:t>(26), 79-92.</w:t>
      </w:r>
    </w:p>
    <w:p w14:paraId="3EF93766" w14:textId="77777777" w:rsidR="00920C03" w:rsidRPr="00D55791" w:rsidRDefault="00920C03" w:rsidP="00920C03">
      <w:pPr>
        <w:pStyle w:val="Sinespaciado"/>
        <w:jc w:val="both"/>
        <w:rPr>
          <w:rFonts w:ascii="Arial" w:hAnsi="Arial" w:cs="Arial"/>
        </w:rPr>
      </w:pPr>
    </w:p>
    <w:p w14:paraId="79CF07F0" w14:textId="77777777" w:rsidR="00920C03" w:rsidRPr="00D55791" w:rsidRDefault="00920C03" w:rsidP="00920C03">
      <w:pPr>
        <w:pStyle w:val="Sinespaciado"/>
        <w:jc w:val="both"/>
        <w:rPr>
          <w:rFonts w:ascii="Arial" w:hAnsi="Arial" w:cs="Arial"/>
        </w:rPr>
      </w:pPr>
      <w:r w:rsidRPr="00D55791">
        <w:rPr>
          <w:rFonts w:ascii="Arial" w:hAnsi="Arial" w:cs="Arial"/>
        </w:rPr>
        <w:t xml:space="preserve">Plancarte, R. y R. Carrillo (2015). Anestesiología. En Ruelas, E., Lifshitz, A. y M. Mercado (Coords.), </w:t>
      </w:r>
      <w:r w:rsidRPr="00D55791">
        <w:rPr>
          <w:rFonts w:ascii="Arial" w:hAnsi="Arial" w:cs="Arial"/>
          <w:i/>
        </w:rPr>
        <w:t>Estado del Arte de la Medicina: 2013-2014 Cirugía</w:t>
      </w:r>
      <w:r w:rsidRPr="00D55791">
        <w:rPr>
          <w:rFonts w:ascii="Arial" w:hAnsi="Arial" w:cs="Arial"/>
        </w:rPr>
        <w:t xml:space="preserve"> (pp. 1-12). México: Academia Nacional de Medicina de México y Consejo Nacional de Ciencia y Tecnología de México.</w:t>
      </w:r>
    </w:p>
    <w:p w14:paraId="167071C2" w14:textId="77777777" w:rsidR="00920C03" w:rsidRPr="00D55791" w:rsidRDefault="00920C03" w:rsidP="00920C03">
      <w:pPr>
        <w:pStyle w:val="Sinespaciado"/>
        <w:jc w:val="both"/>
        <w:rPr>
          <w:rFonts w:ascii="Arial" w:hAnsi="Arial" w:cs="Arial"/>
        </w:rPr>
      </w:pPr>
    </w:p>
    <w:p w14:paraId="72C8E4C8" w14:textId="77777777" w:rsidR="00920C03" w:rsidRPr="00D55791" w:rsidRDefault="00920C03" w:rsidP="00920C03">
      <w:pPr>
        <w:pStyle w:val="Sinespaciado"/>
        <w:jc w:val="both"/>
        <w:rPr>
          <w:rFonts w:ascii="Arial" w:hAnsi="Arial" w:cs="Arial"/>
        </w:rPr>
      </w:pPr>
      <w:r w:rsidRPr="00D55791">
        <w:rPr>
          <w:rFonts w:ascii="Arial" w:hAnsi="Arial" w:cs="Arial"/>
          <w:lang w:val="en-US"/>
        </w:rPr>
        <w:t xml:space="preserve">Querido, S. </w:t>
      </w:r>
      <w:r w:rsidRPr="00D55791">
        <w:rPr>
          <w:rFonts w:ascii="Arial" w:hAnsi="Arial" w:cs="Arial"/>
          <w:i/>
          <w:lang w:val="en-US"/>
        </w:rPr>
        <w:t>et al.</w:t>
      </w:r>
      <w:r w:rsidRPr="00D55791">
        <w:rPr>
          <w:rFonts w:ascii="Arial" w:hAnsi="Arial" w:cs="Arial"/>
          <w:lang w:val="en-US"/>
        </w:rPr>
        <w:t xml:space="preserve"> (2016). Dynamics of career choice among students in undergraduate medical courses. </w:t>
      </w:r>
      <w:r w:rsidRPr="00D55791">
        <w:rPr>
          <w:rFonts w:ascii="Arial" w:hAnsi="Arial" w:cs="Arial"/>
        </w:rPr>
        <w:t xml:space="preserve">A BEME systematic review: BEME Guide No. 33. </w:t>
      </w:r>
      <w:r w:rsidRPr="00D55791">
        <w:rPr>
          <w:rFonts w:ascii="Arial" w:hAnsi="Arial" w:cs="Arial"/>
          <w:i/>
        </w:rPr>
        <w:t>Medical Teacher</w:t>
      </w:r>
      <w:r w:rsidRPr="00D55791">
        <w:rPr>
          <w:rFonts w:ascii="Arial" w:hAnsi="Arial" w:cs="Arial"/>
        </w:rPr>
        <w:t xml:space="preserve">, </w:t>
      </w:r>
      <w:r w:rsidRPr="00D55791">
        <w:rPr>
          <w:rFonts w:ascii="Arial" w:hAnsi="Arial" w:cs="Arial"/>
          <w:i/>
        </w:rPr>
        <w:t>38</w:t>
      </w:r>
      <w:r w:rsidRPr="00D55791">
        <w:rPr>
          <w:rFonts w:ascii="Arial" w:hAnsi="Arial" w:cs="Arial"/>
        </w:rPr>
        <w:t>(1), 18-29.</w:t>
      </w:r>
    </w:p>
    <w:p w14:paraId="1FFDCD89" w14:textId="77777777" w:rsidR="00920C03" w:rsidRPr="00D55791" w:rsidRDefault="00920C03" w:rsidP="00920C03">
      <w:pPr>
        <w:pStyle w:val="Sinespaciado"/>
        <w:jc w:val="both"/>
        <w:rPr>
          <w:rFonts w:ascii="Arial" w:hAnsi="Arial" w:cs="Arial"/>
        </w:rPr>
      </w:pPr>
    </w:p>
    <w:p w14:paraId="66C2C46E" w14:textId="77777777" w:rsidR="00920C03" w:rsidRPr="00D55791" w:rsidRDefault="00920C03" w:rsidP="00920C03">
      <w:pPr>
        <w:pStyle w:val="Sinespaciado"/>
        <w:jc w:val="both"/>
        <w:rPr>
          <w:rFonts w:ascii="Arial" w:hAnsi="Arial" w:cs="Arial"/>
        </w:rPr>
      </w:pPr>
      <w:r w:rsidRPr="00D55791">
        <w:rPr>
          <w:rFonts w:ascii="Arial" w:hAnsi="Arial" w:cs="Arial"/>
        </w:rPr>
        <w:t xml:space="preserve">Rodríguez, R. (1989) Metodología para el análisis demográfico de la eficiencia terminal, la deserción y el rezago escolar. En Santoyo, R. (Coord.), </w:t>
      </w:r>
      <w:r w:rsidRPr="00D55791">
        <w:rPr>
          <w:rFonts w:ascii="Arial" w:hAnsi="Arial" w:cs="Arial"/>
          <w:i/>
        </w:rPr>
        <w:t>La trayectoria escolar en la educación superior. Panorámica de la investigación y acercamientos metodológicos</w:t>
      </w:r>
      <w:r w:rsidRPr="00D55791">
        <w:rPr>
          <w:rFonts w:ascii="Arial" w:hAnsi="Arial" w:cs="Arial"/>
        </w:rPr>
        <w:t xml:space="preserve"> (pp. 225-280). México: ANUIES.</w:t>
      </w:r>
    </w:p>
    <w:p w14:paraId="58F68A9F" w14:textId="77777777" w:rsidR="00920C03" w:rsidRPr="00D55791" w:rsidRDefault="00920C03" w:rsidP="00920C03">
      <w:pPr>
        <w:pStyle w:val="Sinespaciado"/>
        <w:jc w:val="both"/>
        <w:rPr>
          <w:rFonts w:ascii="Arial" w:hAnsi="Arial" w:cs="Arial"/>
        </w:rPr>
      </w:pPr>
    </w:p>
    <w:p w14:paraId="0530EDBA" w14:textId="77777777" w:rsidR="00920C03" w:rsidRPr="00D55791" w:rsidRDefault="00920C03" w:rsidP="00920C03">
      <w:pPr>
        <w:pStyle w:val="Sinespaciado"/>
        <w:jc w:val="both"/>
        <w:rPr>
          <w:rFonts w:ascii="Arial" w:hAnsi="Arial" w:cs="Arial"/>
        </w:rPr>
      </w:pPr>
      <w:r w:rsidRPr="00D55791">
        <w:rPr>
          <w:rFonts w:ascii="Arial" w:hAnsi="Arial" w:cs="Arial"/>
        </w:rPr>
        <w:t xml:space="preserve">Ruelas, E. y A. Alonso (2015). Imágenes generales sobre la posible evolución futura de las especialidades médicas. En Ruelas, E. y A. Alonso (Eds.), </w:t>
      </w:r>
      <w:r w:rsidRPr="00D55791">
        <w:rPr>
          <w:rFonts w:ascii="Arial" w:hAnsi="Arial" w:cs="Arial"/>
          <w:i/>
        </w:rPr>
        <w:t>Futuros de las especialidades médicas en México</w:t>
      </w:r>
      <w:r w:rsidRPr="00D55791">
        <w:rPr>
          <w:rFonts w:ascii="Arial" w:hAnsi="Arial" w:cs="Arial"/>
        </w:rPr>
        <w:t xml:space="preserve"> (pp. 105-122). México: Academia Nacional de Medicina de México y Consejo Nacional de Ciencia y Tecnología de México.</w:t>
      </w:r>
    </w:p>
    <w:p w14:paraId="411CA4A1" w14:textId="77777777" w:rsidR="00920C03" w:rsidRPr="00D55791" w:rsidRDefault="00920C03" w:rsidP="00920C03">
      <w:pPr>
        <w:pStyle w:val="Sinespaciado"/>
        <w:jc w:val="both"/>
        <w:rPr>
          <w:rFonts w:ascii="Arial" w:hAnsi="Arial" w:cs="Arial"/>
        </w:rPr>
      </w:pPr>
    </w:p>
    <w:p w14:paraId="02E486D7" w14:textId="77777777" w:rsidR="00920C03" w:rsidRPr="00D55791" w:rsidRDefault="00920C03" w:rsidP="00920C03">
      <w:pPr>
        <w:pStyle w:val="Sinespaciado"/>
        <w:jc w:val="both"/>
        <w:rPr>
          <w:rFonts w:ascii="Arial" w:hAnsi="Arial" w:cs="Arial"/>
        </w:rPr>
      </w:pPr>
      <w:r w:rsidRPr="00D55791">
        <w:rPr>
          <w:rFonts w:ascii="Arial" w:hAnsi="Arial" w:cs="Arial"/>
        </w:rPr>
        <w:t xml:space="preserve">Sánchez, D. (2007). Envejecimiento demográfico urbano y sus repercusiones socioespaciales en México. Retos de la planeación gerontológica. </w:t>
      </w:r>
      <w:r w:rsidRPr="00D55791">
        <w:rPr>
          <w:rFonts w:ascii="Arial" w:hAnsi="Arial" w:cs="Arial"/>
          <w:i/>
        </w:rPr>
        <w:t>Revista de Geografía Norte Grande</w:t>
      </w:r>
      <w:r w:rsidRPr="00D55791">
        <w:rPr>
          <w:rFonts w:ascii="Arial" w:hAnsi="Arial" w:cs="Arial"/>
        </w:rPr>
        <w:t>, 38, 45-61.</w:t>
      </w:r>
    </w:p>
    <w:p w14:paraId="14158B20" w14:textId="77777777" w:rsidR="00920C03" w:rsidRPr="00D55791" w:rsidRDefault="00920C03" w:rsidP="00920C03">
      <w:pPr>
        <w:pStyle w:val="Sinespaciado"/>
        <w:jc w:val="both"/>
        <w:rPr>
          <w:rFonts w:ascii="Arial" w:hAnsi="Arial" w:cs="Arial"/>
        </w:rPr>
      </w:pPr>
    </w:p>
    <w:p w14:paraId="1986F3C4" w14:textId="77777777" w:rsidR="00920C03" w:rsidRPr="00D55791" w:rsidRDefault="00920C03" w:rsidP="00920C03">
      <w:pPr>
        <w:pStyle w:val="Sinespaciado"/>
        <w:jc w:val="both"/>
        <w:rPr>
          <w:rFonts w:ascii="Arial" w:hAnsi="Arial" w:cs="Arial"/>
        </w:rPr>
      </w:pPr>
      <w:r w:rsidRPr="00D55791">
        <w:rPr>
          <w:rFonts w:ascii="Arial" w:hAnsi="Arial" w:cs="Arial"/>
        </w:rPr>
        <w:t xml:space="preserve">Santacruz, J. </w:t>
      </w:r>
      <w:r w:rsidRPr="00D55791">
        <w:rPr>
          <w:rFonts w:ascii="Arial" w:hAnsi="Arial" w:cs="Arial"/>
          <w:i/>
        </w:rPr>
        <w:t xml:space="preserve"> et al.</w:t>
      </w:r>
      <w:r w:rsidRPr="00D55791">
        <w:rPr>
          <w:rFonts w:ascii="Arial" w:hAnsi="Arial" w:cs="Arial"/>
        </w:rPr>
        <w:t xml:space="preserve"> (2015). Metodología para estimar el número de médicos especialistas en México. En Fajardo, G., Santacruz, J. y C. Lavalle (Coords.), </w:t>
      </w:r>
      <w:r w:rsidRPr="00D55791">
        <w:rPr>
          <w:rFonts w:ascii="Arial" w:hAnsi="Arial" w:cs="Arial"/>
          <w:i/>
        </w:rPr>
        <w:t>La formación de médicos especialistas en México. Documento de postura</w:t>
      </w:r>
      <w:r w:rsidRPr="00D55791">
        <w:rPr>
          <w:rFonts w:ascii="Arial" w:hAnsi="Arial" w:cs="Arial"/>
        </w:rPr>
        <w:t xml:space="preserve"> (pp. 71-152). México: Academia Nacional de Medicina de México y Consejo Nacional de Ciencia y Tecnología.</w:t>
      </w:r>
    </w:p>
    <w:p w14:paraId="694265F7" w14:textId="77777777" w:rsidR="00920C03" w:rsidRPr="00D55791" w:rsidRDefault="00920C03" w:rsidP="00920C03">
      <w:pPr>
        <w:pStyle w:val="Sinespaciado"/>
        <w:jc w:val="both"/>
        <w:rPr>
          <w:rFonts w:ascii="Arial" w:hAnsi="Arial" w:cs="Arial"/>
        </w:rPr>
      </w:pPr>
    </w:p>
    <w:p w14:paraId="334EA4AD" w14:textId="77777777" w:rsidR="00920C03" w:rsidRDefault="00920C03" w:rsidP="00920C03">
      <w:pPr>
        <w:pStyle w:val="Sinespaciado"/>
        <w:jc w:val="both"/>
        <w:rPr>
          <w:rFonts w:ascii="Arial" w:hAnsi="Arial" w:cs="Arial"/>
        </w:rPr>
      </w:pPr>
      <w:r w:rsidRPr="00D55791">
        <w:rPr>
          <w:rFonts w:ascii="Arial" w:hAnsi="Arial" w:cs="Arial"/>
        </w:rPr>
        <w:t xml:space="preserve">Secretaria de Salud (2017). </w:t>
      </w:r>
      <w:r w:rsidRPr="00D55791">
        <w:rPr>
          <w:rFonts w:ascii="Arial" w:hAnsi="Arial" w:cs="Arial"/>
          <w:i/>
        </w:rPr>
        <w:t>Boletín de Información Estadística No. 36 Año 2016. Volumen III. Servicios otorgados y programas sustantivos.</w:t>
      </w:r>
      <w:r w:rsidRPr="00D55791">
        <w:rPr>
          <w:rFonts w:ascii="Arial" w:hAnsi="Arial" w:cs="Arial"/>
        </w:rPr>
        <w:t xml:space="preserve"> [En línea]. http://www.dgis.salud.gob.mx/contenidos/publicaciones/p_bie_gobmx.html [Consulta el 01 de marzo de 2019].</w:t>
      </w:r>
    </w:p>
    <w:p w14:paraId="6B10428F" w14:textId="77777777" w:rsidR="00920C03" w:rsidRPr="00D55791" w:rsidRDefault="00920C03" w:rsidP="00920C03">
      <w:pPr>
        <w:pStyle w:val="Sinespaciado"/>
        <w:jc w:val="both"/>
        <w:rPr>
          <w:rFonts w:ascii="Arial" w:hAnsi="Arial" w:cs="Arial"/>
        </w:rPr>
      </w:pPr>
    </w:p>
    <w:p w14:paraId="69D64D40" w14:textId="77777777" w:rsidR="00920C03" w:rsidRPr="00D55791" w:rsidRDefault="00920C03" w:rsidP="00920C03">
      <w:pPr>
        <w:pStyle w:val="Sinespaciado"/>
        <w:jc w:val="both"/>
        <w:rPr>
          <w:rFonts w:ascii="Arial" w:hAnsi="Arial" w:cs="Arial"/>
        </w:rPr>
      </w:pPr>
      <w:r w:rsidRPr="00D55791">
        <w:rPr>
          <w:rFonts w:ascii="Arial" w:hAnsi="Arial" w:cs="Arial"/>
        </w:rPr>
        <w:lastRenderedPageBreak/>
        <w:t xml:space="preserve">Secretaría de Salud (2019). </w:t>
      </w:r>
      <w:r w:rsidRPr="00D55791">
        <w:rPr>
          <w:rFonts w:ascii="Arial" w:hAnsi="Arial" w:cs="Arial"/>
          <w:i/>
        </w:rPr>
        <w:t>Recursos en Salud 2017</w:t>
      </w:r>
      <w:r w:rsidRPr="00D55791">
        <w:rPr>
          <w:rFonts w:ascii="Arial" w:hAnsi="Arial" w:cs="Arial"/>
        </w:rPr>
        <w:t xml:space="preserve">. [En línea].  https://datos.gob.mx/busca/dataset/recursos-en-salud-nivel-central [Consulta el 28 de febrero de 2019]. </w:t>
      </w:r>
    </w:p>
    <w:p w14:paraId="5D5E8044" w14:textId="77777777" w:rsidR="00920C03" w:rsidRPr="00D55791" w:rsidRDefault="00920C03" w:rsidP="00920C03">
      <w:pPr>
        <w:pStyle w:val="Sinespaciado"/>
        <w:jc w:val="both"/>
        <w:rPr>
          <w:rFonts w:ascii="Arial" w:hAnsi="Arial" w:cs="Arial"/>
        </w:rPr>
      </w:pPr>
    </w:p>
    <w:p w14:paraId="0D6B9FC0" w14:textId="77777777" w:rsidR="00920C03" w:rsidRPr="00D55791" w:rsidRDefault="00920C03" w:rsidP="00920C03">
      <w:pPr>
        <w:pStyle w:val="Sinespaciado"/>
        <w:jc w:val="both"/>
        <w:rPr>
          <w:rFonts w:ascii="Arial" w:hAnsi="Arial" w:cs="Arial"/>
        </w:rPr>
      </w:pPr>
      <w:r w:rsidRPr="00D55791">
        <w:rPr>
          <w:rFonts w:ascii="Arial" w:hAnsi="Arial" w:cs="Arial"/>
        </w:rPr>
        <w:t xml:space="preserve">Secretaría de Salud (s.f. a) </w:t>
      </w:r>
      <w:r w:rsidRPr="00D55791">
        <w:rPr>
          <w:rFonts w:ascii="Arial" w:hAnsi="Arial" w:cs="Arial"/>
          <w:i/>
        </w:rPr>
        <w:t>Registro de egresos hospitalarios 2017</w:t>
      </w:r>
      <w:r w:rsidRPr="00D55791">
        <w:rPr>
          <w:rFonts w:ascii="Arial" w:hAnsi="Arial" w:cs="Arial"/>
        </w:rPr>
        <w:t xml:space="preserve">. </w:t>
      </w:r>
      <w:r w:rsidRPr="00D55791">
        <w:rPr>
          <w:rFonts w:ascii="Arial" w:hAnsi="Arial" w:cs="Arial"/>
          <w:i/>
        </w:rPr>
        <w:t>Procedimientos.</w:t>
      </w:r>
      <w:r w:rsidRPr="00D55791">
        <w:rPr>
          <w:rFonts w:ascii="Arial" w:hAnsi="Arial" w:cs="Arial"/>
        </w:rPr>
        <w:t xml:space="preserve"> [En línea]. http://www.dgis.salud.gob.mx/contenidos/basesdedatos/da_egresoshosp_gobmx.html [Consulta el 05 de marzo de 2019]. </w:t>
      </w:r>
    </w:p>
    <w:p w14:paraId="74DC4391" w14:textId="77777777" w:rsidR="00920C03" w:rsidRPr="00D55791" w:rsidRDefault="00920C03" w:rsidP="00920C03">
      <w:pPr>
        <w:pStyle w:val="Sinespaciado"/>
        <w:jc w:val="both"/>
        <w:rPr>
          <w:rFonts w:ascii="Arial" w:hAnsi="Arial" w:cs="Arial"/>
        </w:rPr>
      </w:pPr>
    </w:p>
    <w:p w14:paraId="41190212" w14:textId="77777777" w:rsidR="00920C03" w:rsidRPr="00D55791" w:rsidRDefault="00920C03" w:rsidP="00920C03">
      <w:pPr>
        <w:pStyle w:val="Sinespaciado"/>
        <w:jc w:val="both"/>
        <w:rPr>
          <w:rFonts w:ascii="Arial" w:hAnsi="Arial" w:cs="Arial"/>
        </w:rPr>
      </w:pPr>
      <w:r w:rsidRPr="00D55791">
        <w:rPr>
          <w:rFonts w:ascii="Arial" w:hAnsi="Arial" w:cs="Arial"/>
        </w:rPr>
        <w:t xml:space="preserve">Secretaría de Salud (s.f.). </w:t>
      </w:r>
      <w:r w:rsidRPr="00D55791">
        <w:rPr>
          <w:rFonts w:ascii="Arial" w:hAnsi="Arial" w:cs="Arial"/>
          <w:i/>
        </w:rPr>
        <w:t>Anuario de Morbilidad de México, 1984-2017</w:t>
      </w:r>
      <w:r w:rsidRPr="00D55791">
        <w:rPr>
          <w:rFonts w:ascii="Arial" w:hAnsi="Arial" w:cs="Arial"/>
        </w:rPr>
        <w:t xml:space="preserve">. [En línea]. http://187.191.75.115/anuario/html/morbilidad_nacional.html [Consulta el 14 de febrero de 2019]. </w:t>
      </w:r>
    </w:p>
    <w:p w14:paraId="777131B2" w14:textId="77777777" w:rsidR="00920C03" w:rsidRPr="00D55791" w:rsidRDefault="00920C03" w:rsidP="00920C03">
      <w:pPr>
        <w:pStyle w:val="Sinespaciado"/>
        <w:jc w:val="both"/>
        <w:rPr>
          <w:rFonts w:ascii="Arial" w:hAnsi="Arial" w:cs="Arial"/>
        </w:rPr>
      </w:pPr>
    </w:p>
    <w:p w14:paraId="4C8C6C9B" w14:textId="77777777" w:rsidR="00920C03" w:rsidRPr="00E727FB" w:rsidRDefault="00920C03" w:rsidP="00920C03">
      <w:pPr>
        <w:pStyle w:val="Sinespaciado"/>
        <w:jc w:val="both"/>
        <w:rPr>
          <w:rFonts w:ascii="Arial" w:hAnsi="Arial" w:cs="Arial"/>
        </w:rPr>
      </w:pPr>
      <w:r w:rsidRPr="00D55791">
        <w:rPr>
          <w:rFonts w:ascii="Arial" w:hAnsi="Arial" w:cs="Arial"/>
        </w:rPr>
        <w:t xml:space="preserve">Solís, P. (1999). El ingreso a la cuarta edad en México: Una aproximación a su intensidad, calendario e implicaciones en el apoyo familiar y social de los ancianos. </w:t>
      </w:r>
      <w:r w:rsidRPr="00D55791">
        <w:rPr>
          <w:rFonts w:ascii="Arial" w:hAnsi="Arial" w:cs="Arial"/>
          <w:i/>
        </w:rPr>
        <w:t>Papeles de Población</w:t>
      </w:r>
      <w:r w:rsidRPr="00D55791">
        <w:rPr>
          <w:rFonts w:ascii="Arial" w:hAnsi="Arial" w:cs="Arial"/>
        </w:rPr>
        <w:t xml:space="preserve">, </w:t>
      </w:r>
      <w:r w:rsidRPr="00D55791">
        <w:rPr>
          <w:rFonts w:ascii="Arial" w:hAnsi="Arial" w:cs="Arial"/>
          <w:i/>
        </w:rPr>
        <w:t>5</w:t>
      </w:r>
      <w:r w:rsidRPr="00D55791">
        <w:rPr>
          <w:rFonts w:ascii="Arial" w:hAnsi="Arial" w:cs="Arial"/>
        </w:rPr>
        <w:t>(19), 43-63.</w:t>
      </w:r>
    </w:p>
    <w:p w14:paraId="422F425C" w14:textId="77777777" w:rsidR="00920C03" w:rsidRPr="00E727FB" w:rsidRDefault="00920C03" w:rsidP="00920C03">
      <w:pPr>
        <w:pStyle w:val="Sinespaciado"/>
        <w:jc w:val="both"/>
        <w:rPr>
          <w:rFonts w:ascii="Arial" w:hAnsi="Arial" w:cs="Arial"/>
        </w:rPr>
      </w:pPr>
    </w:p>
    <w:p w14:paraId="2A11AB46" w14:textId="77777777" w:rsidR="00920C03" w:rsidRPr="00E727FB" w:rsidRDefault="00920C03" w:rsidP="00920C03">
      <w:pPr>
        <w:pStyle w:val="Textonotapie"/>
        <w:jc w:val="both"/>
        <w:rPr>
          <w:rFonts w:ascii="Arial" w:hAnsi="Arial" w:cs="Arial"/>
          <w:sz w:val="22"/>
          <w:szCs w:val="22"/>
        </w:rPr>
      </w:pPr>
    </w:p>
    <w:p w14:paraId="19938D37" w14:textId="77777777" w:rsidR="00920C03" w:rsidRPr="009026BB" w:rsidRDefault="00920C03" w:rsidP="00CC1CD9">
      <w:pPr>
        <w:spacing w:line="360" w:lineRule="auto"/>
        <w:jc w:val="both"/>
        <w:rPr>
          <w:rFonts w:ascii="Arial" w:hAnsi="Arial" w:cs="Arial"/>
        </w:rPr>
      </w:pPr>
    </w:p>
    <w:sectPr w:rsidR="00920C03" w:rsidRPr="009026BB" w:rsidSect="00EB1FA3">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AED2A3" w14:textId="77777777" w:rsidR="00D33FF0" w:rsidRDefault="00D33FF0" w:rsidP="000E19B0">
      <w:pPr>
        <w:spacing w:after="0" w:line="240" w:lineRule="auto"/>
      </w:pPr>
      <w:r>
        <w:separator/>
      </w:r>
    </w:p>
  </w:endnote>
  <w:endnote w:type="continuationSeparator" w:id="0">
    <w:p w14:paraId="40F528D4" w14:textId="77777777" w:rsidR="00D33FF0" w:rsidRDefault="00D33FF0"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Indivisa Text Sans">
    <w:panose1 w:val="00000000000000000000"/>
    <w:charset w:val="00"/>
    <w:family w:val="modern"/>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6294069"/>
      <w:docPartObj>
        <w:docPartGallery w:val="Page Numbers (Bottom of Page)"/>
        <w:docPartUnique/>
      </w:docPartObj>
    </w:sdtPr>
    <w:sdtEndPr>
      <w:rPr>
        <w:rFonts w:ascii="Arial" w:hAnsi="Arial" w:cs="Arial"/>
        <w:sz w:val="20"/>
        <w:szCs w:val="20"/>
      </w:rPr>
    </w:sdtEndPr>
    <w:sdtContent>
      <w:p w14:paraId="628C5088" w14:textId="438DBC14" w:rsidR="00CF252E" w:rsidRPr="00CA61C8" w:rsidRDefault="00CF252E">
        <w:pPr>
          <w:pStyle w:val="Piedepgina"/>
          <w:jc w:val="right"/>
          <w:rPr>
            <w:rFonts w:ascii="Arial" w:hAnsi="Arial" w:cs="Arial"/>
            <w:sz w:val="20"/>
            <w:szCs w:val="20"/>
          </w:rPr>
        </w:pPr>
        <w:r w:rsidRPr="00CA61C8">
          <w:rPr>
            <w:rFonts w:ascii="Arial" w:hAnsi="Arial" w:cs="Arial"/>
            <w:sz w:val="20"/>
            <w:szCs w:val="20"/>
          </w:rPr>
          <w:fldChar w:fldCharType="begin"/>
        </w:r>
        <w:r w:rsidRPr="00CA61C8">
          <w:rPr>
            <w:rFonts w:ascii="Arial" w:hAnsi="Arial" w:cs="Arial"/>
            <w:sz w:val="20"/>
            <w:szCs w:val="20"/>
          </w:rPr>
          <w:instrText>PAGE   \* MERGEFORMAT</w:instrText>
        </w:r>
        <w:r w:rsidRPr="00CA61C8">
          <w:rPr>
            <w:rFonts w:ascii="Arial" w:hAnsi="Arial" w:cs="Arial"/>
            <w:sz w:val="20"/>
            <w:szCs w:val="20"/>
          </w:rPr>
          <w:fldChar w:fldCharType="separate"/>
        </w:r>
        <w:r w:rsidR="006F43FD" w:rsidRPr="006F43FD">
          <w:rPr>
            <w:rFonts w:ascii="Arial" w:hAnsi="Arial" w:cs="Arial"/>
            <w:noProof/>
            <w:sz w:val="20"/>
            <w:szCs w:val="20"/>
            <w:lang w:val="es-ES"/>
          </w:rPr>
          <w:t>2</w:t>
        </w:r>
        <w:r w:rsidRPr="00CA61C8">
          <w:rPr>
            <w:rFonts w:ascii="Arial" w:hAnsi="Arial" w:cs="Arial"/>
            <w:sz w:val="20"/>
            <w:szCs w:val="20"/>
          </w:rPr>
          <w:fldChar w:fldCharType="end"/>
        </w:r>
      </w:p>
    </w:sdtContent>
  </w:sdt>
  <w:p w14:paraId="275B5AA0" w14:textId="02EE3F5A" w:rsidR="00CF252E" w:rsidRDefault="00CF252E" w:rsidP="002A00F2">
    <w:pPr>
      <w:pStyle w:val="Piedepgina"/>
      <w:tabs>
        <w:tab w:val="clear" w:pos="4419"/>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7D08D8" w14:textId="77777777" w:rsidR="00D33FF0" w:rsidRDefault="00D33FF0" w:rsidP="000E19B0">
      <w:pPr>
        <w:spacing w:after="0" w:line="240" w:lineRule="auto"/>
      </w:pPr>
      <w:r>
        <w:separator/>
      </w:r>
    </w:p>
  </w:footnote>
  <w:footnote w:type="continuationSeparator" w:id="0">
    <w:p w14:paraId="2F3A72CB" w14:textId="77777777" w:rsidR="00D33FF0" w:rsidRDefault="00D33FF0" w:rsidP="000E19B0">
      <w:pPr>
        <w:spacing w:after="0" w:line="240" w:lineRule="auto"/>
      </w:pPr>
      <w:r>
        <w:continuationSeparator/>
      </w:r>
    </w:p>
  </w:footnote>
  <w:footnote w:id="1">
    <w:p w14:paraId="6A999036" w14:textId="77777777" w:rsidR="00CF252E" w:rsidRPr="0007056C" w:rsidRDefault="00CF252E" w:rsidP="00FB1C38">
      <w:pPr>
        <w:autoSpaceDE w:val="0"/>
        <w:autoSpaceDN w:val="0"/>
        <w:adjustRightInd w:val="0"/>
        <w:spacing w:after="0" w:line="240" w:lineRule="auto"/>
        <w:ind w:left="142" w:hanging="142"/>
        <w:jc w:val="both"/>
        <w:rPr>
          <w:rFonts w:ascii="Arial" w:hAnsi="Arial" w:cs="Arial"/>
          <w:sz w:val="20"/>
          <w:szCs w:val="20"/>
        </w:rPr>
      </w:pPr>
      <w:r w:rsidRPr="0007056C">
        <w:rPr>
          <w:rStyle w:val="Refdenotaalpie"/>
          <w:rFonts w:ascii="Arial" w:hAnsi="Arial" w:cs="Arial"/>
          <w:sz w:val="20"/>
          <w:szCs w:val="20"/>
        </w:rPr>
        <w:footnoteRef/>
      </w:r>
      <w:r w:rsidRPr="0007056C">
        <w:rPr>
          <w:rFonts w:ascii="Arial" w:hAnsi="Arial" w:cs="Arial"/>
          <w:sz w:val="20"/>
          <w:szCs w:val="20"/>
        </w:rPr>
        <w:t xml:space="preserve"> </w:t>
      </w:r>
      <w:r w:rsidRPr="002A68B0">
        <w:rPr>
          <w:rFonts w:ascii="Arial" w:hAnsi="Arial" w:cs="Arial"/>
          <w:sz w:val="20"/>
          <w:szCs w:val="20"/>
        </w:rPr>
        <w:t>Es reconocido el papel pionero de la Escuela de Medicina de la Universidad McMaster, de Canadá, así como el liderazgo e influencia de instituciones como Harvard Business School y Harvard Medical School.</w:t>
      </w:r>
    </w:p>
  </w:footnote>
  <w:footnote w:id="2">
    <w:p w14:paraId="203E6413" w14:textId="77777777" w:rsidR="00CF252E" w:rsidRPr="00D93528" w:rsidRDefault="00CF252E" w:rsidP="00FB1C38">
      <w:pPr>
        <w:autoSpaceDE w:val="0"/>
        <w:autoSpaceDN w:val="0"/>
        <w:adjustRightInd w:val="0"/>
        <w:spacing w:after="0" w:line="240" w:lineRule="auto"/>
        <w:ind w:left="142" w:hanging="142"/>
        <w:jc w:val="both"/>
        <w:rPr>
          <w:rFonts w:ascii="Arial" w:hAnsi="Arial" w:cs="Arial"/>
          <w:sz w:val="20"/>
          <w:szCs w:val="20"/>
        </w:rPr>
      </w:pPr>
      <w:r w:rsidRPr="005720A7">
        <w:rPr>
          <w:rStyle w:val="Refdenotaalpie"/>
          <w:rFonts w:ascii="Arial" w:hAnsi="Arial" w:cs="Arial"/>
          <w:sz w:val="20"/>
          <w:szCs w:val="20"/>
        </w:rPr>
        <w:footnoteRef/>
      </w:r>
      <w:r w:rsidRPr="005720A7">
        <w:rPr>
          <w:rFonts w:ascii="Arial" w:hAnsi="Arial" w:cs="Arial"/>
          <w:sz w:val="20"/>
          <w:szCs w:val="20"/>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14:paraId="1491FB6E" w14:textId="77777777" w:rsidR="00CF252E" w:rsidRPr="0007056C" w:rsidRDefault="00CF252E" w:rsidP="00FB1C38">
      <w:pPr>
        <w:autoSpaceDE w:val="0"/>
        <w:autoSpaceDN w:val="0"/>
        <w:adjustRightInd w:val="0"/>
        <w:spacing w:after="0" w:line="240" w:lineRule="auto"/>
        <w:ind w:left="142" w:hanging="142"/>
        <w:jc w:val="both"/>
        <w:rPr>
          <w:rFonts w:ascii="Arial" w:hAnsi="Arial" w:cs="Arial"/>
          <w:sz w:val="20"/>
          <w:szCs w:val="20"/>
        </w:rPr>
      </w:pPr>
      <w:r w:rsidRPr="0007056C">
        <w:rPr>
          <w:rStyle w:val="Refdenotaalpie"/>
          <w:rFonts w:ascii="Arial" w:hAnsi="Arial" w:cs="Arial"/>
          <w:sz w:val="20"/>
          <w:szCs w:val="20"/>
        </w:rPr>
        <w:footnoteRef/>
      </w:r>
      <w:r w:rsidRPr="0007056C">
        <w:rPr>
          <w:rFonts w:ascii="Arial" w:hAnsi="Arial" w:cs="Arial"/>
          <w:sz w:val="20"/>
          <w:szCs w:val="20"/>
        </w:rPr>
        <w:t xml:space="preserve"> </w:t>
      </w:r>
      <w:r w:rsidRPr="00E72653">
        <w:rPr>
          <w:rFonts w:ascii="Arial" w:hAnsi="Arial" w:cs="Arial"/>
          <w:sz w:val="20"/>
          <w:szCs w:val="20"/>
        </w:rPr>
        <w:t xml:space="preserve">Tiene su origen en la Universidad de Harvard (aproximadamente en 1914), con el fin de que los estudiantes de Derecho, en el aprendizaje de las leyes, se enfrentaran a </w:t>
      </w:r>
      <w:r w:rsidRPr="00E72653">
        <w:rPr>
          <w:rFonts w:ascii="Arial" w:hAnsi="Arial" w:cs="Arial"/>
          <w:bCs/>
          <w:sz w:val="20"/>
          <w:szCs w:val="20"/>
        </w:rPr>
        <w:t>situaciones reales</w:t>
      </w:r>
      <w:r w:rsidRPr="00E72653">
        <w:rPr>
          <w:rFonts w:ascii="Arial" w:hAnsi="Arial" w:cs="Arial"/>
          <w:b/>
          <w:bCs/>
          <w:sz w:val="20"/>
          <w:szCs w:val="20"/>
        </w:rPr>
        <w:t xml:space="preserve"> </w:t>
      </w:r>
      <w:r w:rsidRPr="00E72653">
        <w:rPr>
          <w:rFonts w:ascii="Arial" w:hAnsi="Arial" w:cs="Arial"/>
          <w:sz w:val="20"/>
          <w:szCs w:val="20"/>
        </w:rPr>
        <w:t>y tuvieran que tomar decisiones, valorar actuaciones, emitir juicios fundamentados.</w:t>
      </w:r>
    </w:p>
  </w:footnote>
  <w:footnote w:id="4">
    <w:p w14:paraId="03C42F9E" w14:textId="77777777" w:rsidR="00CF252E" w:rsidRPr="005720A7" w:rsidRDefault="00CF252E" w:rsidP="0007056C">
      <w:pPr>
        <w:pStyle w:val="Textonotapie"/>
        <w:ind w:left="142" w:hanging="142"/>
        <w:jc w:val="both"/>
        <w:rPr>
          <w:rFonts w:ascii="Arial" w:hAnsi="Arial" w:cs="Arial"/>
        </w:rPr>
      </w:pPr>
      <w:r w:rsidRPr="005720A7">
        <w:rPr>
          <w:rStyle w:val="Refdenotaalpie"/>
          <w:rFonts w:ascii="Arial" w:hAnsi="Arial" w:cs="Arial"/>
        </w:rPr>
        <w:footnoteRef/>
      </w:r>
      <w:r w:rsidRPr="005720A7">
        <w:rPr>
          <w:rFonts w:ascii="Arial" w:hAnsi="Arial" w:cs="Arial"/>
        </w:rPr>
        <w:t xml:space="preserve"> Mina, A. (2010). Evolución de la mortalidad: pasado, presente y futuro. </w:t>
      </w:r>
      <w:r w:rsidRPr="005720A7">
        <w:rPr>
          <w:rFonts w:ascii="Arial" w:hAnsi="Arial" w:cs="Arial"/>
          <w:i/>
        </w:rPr>
        <w:t>Los grandes problemas de México. Población (</w:t>
      </w:r>
      <w:r w:rsidRPr="005720A7">
        <w:rPr>
          <w:rFonts w:ascii="Arial" w:hAnsi="Arial" w:cs="Arial"/>
        </w:rPr>
        <w:t>pp.79-104)</w:t>
      </w:r>
      <w:r w:rsidRPr="005720A7">
        <w:rPr>
          <w:rFonts w:ascii="Arial" w:hAnsi="Arial" w:cs="Arial"/>
          <w:i/>
        </w:rPr>
        <w:t>.</w:t>
      </w:r>
      <w:r w:rsidRPr="005720A7">
        <w:rPr>
          <w:rFonts w:ascii="Arial" w:hAnsi="Arial" w:cs="Arial"/>
        </w:rPr>
        <w:t xml:space="preserve"> B. García y M. Ordorica (coords.). El Colegio de México: México, D.F.</w:t>
      </w:r>
    </w:p>
  </w:footnote>
  <w:footnote w:id="5">
    <w:p w14:paraId="18637A78" w14:textId="77777777" w:rsidR="00CF252E" w:rsidRPr="005720A7" w:rsidRDefault="00CF252E" w:rsidP="0007056C">
      <w:pPr>
        <w:pStyle w:val="Textonotapie"/>
        <w:ind w:left="142" w:hanging="142"/>
        <w:jc w:val="both"/>
        <w:rPr>
          <w:rFonts w:ascii="Arial" w:hAnsi="Arial" w:cs="Arial"/>
        </w:rPr>
      </w:pPr>
      <w:r w:rsidRPr="005720A7">
        <w:rPr>
          <w:rStyle w:val="Refdenotaalpie"/>
          <w:rFonts w:ascii="Arial" w:hAnsi="Arial" w:cs="Arial"/>
        </w:rPr>
        <w:footnoteRef/>
      </w:r>
      <w:r w:rsidRPr="005720A7">
        <w:rPr>
          <w:rFonts w:ascii="Arial" w:hAnsi="Arial" w:cs="Arial"/>
        </w:rPr>
        <w:t xml:space="preserve"> Cárdenas, R. (2010). Desafíos de la atención a la salud. </w:t>
      </w:r>
      <w:r w:rsidRPr="005720A7">
        <w:rPr>
          <w:rFonts w:ascii="Arial" w:hAnsi="Arial" w:cs="Arial"/>
          <w:i/>
        </w:rPr>
        <w:t>Los grandes problemas de México. Población (</w:t>
      </w:r>
      <w:r w:rsidRPr="005720A7">
        <w:rPr>
          <w:rFonts w:ascii="Arial" w:hAnsi="Arial" w:cs="Arial"/>
        </w:rPr>
        <w:t>pp.105-136)</w:t>
      </w:r>
      <w:r w:rsidRPr="005720A7">
        <w:rPr>
          <w:rFonts w:ascii="Arial" w:hAnsi="Arial" w:cs="Arial"/>
          <w:i/>
        </w:rPr>
        <w:t>.</w:t>
      </w:r>
      <w:r w:rsidRPr="005720A7">
        <w:rPr>
          <w:rFonts w:ascii="Arial" w:hAnsi="Arial" w:cs="Arial"/>
        </w:rPr>
        <w:t xml:space="preserve"> B. García y M. Ordorica (coords.). El Colegio de México: México, D.F.</w:t>
      </w:r>
    </w:p>
  </w:footnote>
  <w:footnote w:id="6">
    <w:p w14:paraId="3B5E1EAB" w14:textId="77777777" w:rsidR="00CF252E" w:rsidRPr="0007056C" w:rsidRDefault="00CF252E" w:rsidP="0007056C">
      <w:pPr>
        <w:pStyle w:val="Textonotapie"/>
        <w:ind w:left="142" w:hanging="142"/>
        <w:jc w:val="both"/>
        <w:rPr>
          <w:rFonts w:ascii="Arial" w:hAnsi="Arial" w:cs="Arial"/>
        </w:rPr>
      </w:pPr>
      <w:r w:rsidRPr="005720A7">
        <w:rPr>
          <w:rStyle w:val="Refdenotaalpie"/>
          <w:rFonts w:ascii="Arial" w:hAnsi="Arial" w:cs="Arial"/>
        </w:rPr>
        <w:footnoteRef/>
      </w:r>
      <w:r w:rsidRPr="005720A7">
        <w:rPr>
          <w:rFonts w:ascii="Arial" w:hAnsi="Arial" w:cs="Arial"/>
        </w:rPr>
        <w:t xml:space="preserve"> CONAPO (2018). Proyecciones de población de México y de las entidades federativas 2016-2050. Consultado el 1/02/2019 de http://www.conapo.gob.mx.</w:t>
      </w:r>
    </w:p>
  </w:footnote>
  <w:footnote w:id="7">
    <w:p w14:paraId="24CB4E21" w14:textId="77777777" w:rsidR="00CF252E" w:rsidRPr="005720A7" w:rsidRDefault="00CF252E" w:rsidP="00B350E5">
      <w:pPr>
        <w:pStyle w:val="Textonotapie"/>
        <w:rPr>
          <w:rFonts w:ascii="Arial" w:hAnsi="Arial" w:cs="Arial"/>
        </w:rPr>
      </w:pPr>
      <w:r w:rsidRPr="005720A7">
        <w:rPr>
          <w:rStyle w:val="Refdenotaalpie"/>
          <w:rFonts w:ascii="Arial" w:hAnsi="Arial" w:cs="Arial"/>
        </w:rPr>
        <w:footnoteRef/>
      </w:r>
      <w:r w:rsidRPr="005720A7">
        <w:rPr>
          <w:rFonts w:ascii="Arial" w:hAnsi="Arial" w:cs="Arial"/>
        </w:rPr>
        <w:t xml:space="preserve"> </w:t>
      </w:r>
      <w:r w:rsidRPr="005720A7">
        <w:rPr>
          <w:rFonts w:ascii="Arial" w:hAnsi="Arial" w:cs="Arial"/>
          <w:i/>
        </w:rPr>
        <w:t>Ibídem</w:t>
      </w:r>
      <w:r w:rsidRPr="005720A7">
        <w:rPr>
          <w:rFonts w:ascii="Arial" w:hAnsi="Arial" w:cs="Arial"/>
        </w:rPr>
        <w:t>.</w:t>
      </w:r>
    </w:p>
  </w:footnote>
  <w:footnote w:id="8">
    <w:p w14:paraId="268110D2" w14:textId="77777777" w:rsidR="00CF252E" w:rsidRPr="005720A7" w:rsidRDefault="00CF252E" w:rsidP="0007056C">
      <w:pPr>
        <w:pStyle w:val="Textonotapie"/>
        <w:ind w:left="142" w:hanging="142"/>
        <w:jc w:val="both"/>
        <w:rPr>
          <w:rFonts w:ascii="Arial" w:hAnsi="Arial" w:cs="Arial"/>
        </w:rPr>
      </w:pPr>
      <w:r w:rsidRPr="005720A7">
        <w:rPr>
          <w:rStyle w:val="Refdenotaalpie"/>
          <w:rFonts w:ascii="Arial" w:hAnsi="Arial" w:cs="Arial"/>
        </w:rPr>
        <w:footnoteRef/>
      </w:r>
      <w:r w:rsidRPr="005720A7">
        <w:rPr>
          <w:rFonts w:ascii="Arial" w:hAnsi="Arial" w:cs="Arial"/>
        </w:rPr>
        <w:t xml:space="preserve"> Ortiz, M., Gerónimo, L. (2008). El envejecimiento en México. Aspectos territoriales y repercusiones sociales. </w:t>
      </w:r>
      <w:r w:rsidRPr="005720A7">
        <w:rPr>
          <w:rFonts w:ascii="Arial" w:hAnsi="Arial" w:cs="Arial"/>
          <w:i/>
        </w:rPr>
        <w:t>Trayectorias</w:t>
      </w:r>
      <w:r w:rsidRPr="005720A7">
        <w:rPr>
          <w:rFonts w:ascii="Arial" w:hAnsi="Arial" w:cs="Arial"/>
        </w:rPr>
        <w:t>, 10(26), pp. 79-92.</w:t>
      </w:r>
    </w:p>
  </w:footnote>
  <w:footnote w:id="9">
    <w:p w14:paraId="406F110B" w14:textId="77777777" w:rsidR="00CF252E" w:rsidRPr="0007056C" w:rsidRDefault="00CF252E" w:rsidP="00B350E5">
      <w:pPr>
        <w:pStyle w:val="Textonotapie"/>
        <w:jc w:val="both"/>
        <w:rPr>
          <w:rFonts w:ascii="Arial" w:hAnsi="Arial" w:cs="Arial"/>
        </w:rPr>
      </w:pPr>
      <w:r w:rsidRPr="005720A7">
        <w:rPr>
          <w:rStyle w:val="Refdenotaalpie"/>
          <w:rFonts w:ascii="Arial" w:hAnsi="Arial" w:cs="Arial"/>
        </w:rPr>
        <w:footnoteRef/>
      </w:r>
      <w:r w:rsidRPr="005720A7">
        <w:rPr>
          <w:rFonts w:ascii="Arial" w:hAnsi="Arial" w:cs="Arial"/>
        </w:rPr>
        <w:t xml:space="preserve"> CONAPO (2018), </w:t>
      </w:r>
      <w:r w:rsidRPr="005720A7">
        <w:rPr>
          <w:rFonts w:ascii="Arial" w:hAnsi="Arial" w:cs="Arial"/>
          <w:i/>
        </w:rPr>
        <w:t>Op. cit.</w:t>
      </w:r>
      <w:r w:rsidRPr="005720A7">
        <w:rPr>
          <w:rFonts w:ascii="Arial" w:hAnsi="Arial" w:cs="Arial"/>
        </w:rPr>
        <w:t>, s.p.</w:t>
      </w:r>
    </w:p>
  </w:footnote>
  <w:footnote w:id="10">
    <w:p w14:paraId="7FEDBB25" w14:textId="77777777" w:rsidR="00CF252E" w:rsidRPr="00FA6F7B" w:rsidRDefault="00CF252E" w:rsidP="005F5BC1">
      <w:pPr>
        <w:pStyle w:val="Textonotapie"/>
        <w:ind w:left="170" w:hanging="170"/>
        <w:rPr>
          <w:rFonts w:ascii="Arial" w:hAnsi="Arial" w:cs="Arial"/>
        </w:rPr>
      </w:pPr>
      <w:r w:rsidRPr="005720A7">
        <w:rPr>
          <w:rStyle w:val="Refdenotaalpie"/>
          <w:rFonts w:ascii="Arial" w:hAnsi="Arial" w:cs="Arial"/>
        </w:rPr>
        <w:footnoteRef/>
      </w:r>
      <w:r w:rsidRPr="005720A7">
        <w:rPr>
          <w:rFonts w:ascii="Arial" w:hAnsi="Arial" w:cs="Arial"/>
        </w:rPr>
        <w:t xml:space="preserve"> Sánchez, D. (2007). Envejecimiento demográfico urbano y sus repercusiones socioespaciales en México. Retos de la planeación gerontológica. </w:t>
      </w:r>
      <w:r w:rsidRPr="005720A7">
        <w:rPr>
          <w:rFonts w:ascii="Arial" w:hAnsi="Arial" w:cs="Arial"/>
          <w:i/>
        </w:rPr>
        <w:t>Revista de Geografía Norte Grande</w:t>
      </w:r>
      <w:r w:rsidRPr="005720A7">
        <w:rPr>
          <w:rFonts w:ascii="Arial" w:hAnsi="Arial" w:cs="Arial"/>
        </w:rPr>
        <w:t>, 38, pp. 45-61.</w:t>
      </w:r>
    </w:p>
  </w:footnote>
  <w:footnote w:id="11">
    <w:p w14:paraId="5E3166B6" w14:textId="77777777" w:rsidR="00CF252E" w:rsidRPr="005720A7" w:rsidRDefault="00CF252E" w:rsidP="00F12B1B">
      <w:pPr>
        <w:pStyle w:val="Textonotapie"/>
        <w:ind w:left="227" w:hanging="227"/>
        <w:rPr>
          <w:rFonts w:ascii="Arial" w:hAnsi="Arial" w:cs="Arial"/>
        </w:rPr>
      </w:pPr>
      <w:r w:rsidRPr="005720A7">
        <w:rPr>
          <w:rStyle w:val="Refdenotaalpie"/>
          <w:rFonts w:ascii="Arial" w:hAnsi="Arial" w:cs="Arial"/>
        </w:rPr>
        <w:footnoteRef/>
      </w:r>
      <w:r w:rsidRPr="005720A7">
        <w:rPr>
          <w:rFonts w:ascii="Arial" w:hAnsi="Arial" w:cs="Arial"/>
        </w:rPr>
        <w:t xml:space="preserve"> INEGI (2016). </w:t>
      </w:r>
      <w:r w:rsidRPr="005720A7">
        <w:rPr>
          <w:rFonts w:ascii="Arial" w:hAnsi="Arial" w:cs="Arial"/>
          <w:i/>
        </w:rPr>
        <w:t>Encuesta Intercensal 2015</w:t>
      </w:r>
      <w:r w:rsidRPr="005720A7">
        <w:rPr>
          <w:rFonts w:ascii="Arial" w:hAnsi="Arial" w:cs="Arial"/>
        </w:rPr>
        <w:t>. Consultado el 02/02/2019 de https://www.inegi.org.mx/programas/intercensal/2015/.</w:t>
      </w:r>
    </w:p>
  </w:footnote>
  <w:footnote w:id="12">
    <w:p w14:paraId="283E4017" w14:textId="77777777" w:rsidR="00CF252E" w:rsidRPr="0007056C" w:rsidRDefault="00CF252E" w:rsidP="00F12B1B">
      <w:pPr>
        <w:pStyle w:val="Textonotapie"/>
        <w:ind w:left="227" w:hanging="227"/>
        <w:rPr>
          <w:rFonts w:ascii="Arial" w:hAnsi="Arial" w:cs="Arial"/>
        </w:rPr>
      </w:pPr>
      <w:r w:rsidRPr="005720A7">
        <w:rPr>
          <w:rStyle w:val="Refdenotaalpie"/>
          <w:rFonts w:ascii="Arial" w:hAnsi="Arial" w:cs="Arial"/>
        </w:rPr>
        <w:footnoteRef/>
      </w:r>
      <w:r w:rsidRPr="005720A7">
        <w:rPr>
          <w:rFonts w:ascii="Arial" w:hAnsi="Arial" w:cs="Arial"/>
        </w:rPr>
        <w:t xml:space="preserve"> Negrete, M. (2003). El envejecimiento poblacional en la Ciudad de México: evolución y pautas de distribución espacial entre 1970 y 2000. </w:t>
      </w:r>
      <w:r w:rsidRPr="005720A7">
        <w:rPr>
          <w:rFonts w:ascii="Arial" w:hAnsi="Arial" w:cs="Arial"/>
          <w:i/>
        </w:rPr>
        <w:t>Papeles de Población</w:t>
      </w:r>
      <w:r w:rsidRPr="005720A7">
        <w:rPr>
          <w:rFonts w:ascii="Arial" w:hAnsi="Arial" w:cs="Arial"/>
        </w:rPr>
        <w:t>, 9(37), pp. 107-127.</w:t>
      </w:r>
    </w:p>
  </w:footnote>
  <w:footnote w:id="13">
    <w:p w14:paraId="772D8260" w14:textId="77777777" w:rsidR="00CF252E" w:rsidRPr="00BE74B7" w:rsidRDefault="00CF252E" w:rsidP="00F12B1B">
      <w:pPr>
        <w:pStyle w:val="Textonotapie"/>
        <w:ind w:left="227" w:hanging="227"/>
        <w:rPr>
          <w:rFonts w:ascii="Arial" w:hAnsi="Arial" w:cs="Arial"/>
        </w:rPr>
      </w:pPr>
      <w:r w:rsidRPr="005720A7">
        <w:rPr>
          <w:rStyle w:val="Refdenotaalpie"/>
          <w:rFonts w:ascii="Arial" w:hAnsi="Arial" w:cs="Arial"/>
        </w:rPr>
        <w:footnoteRef/>
      </w:r>
      <w:r w:rsidRPr="005720A7">
        <w:rPr>
          <w:rFonts w:ascii="Arial" w:hAnsi="Arial" w:cs="Arial"/>
        </w:rPr>
        <w:t xml:space="preserve"> Ordorica, M. (2010). Las proyecciones de población hasta mitad del siglo XXI. </w:t>
      </w:r>
      <w:r w:rsidRPr="005720A7">
        <w:rPr>
          <w:rFonts w:ascii="Arial" w:hAnsi="Arial" w:cs="Arial"/>
          <w:i/>
        </w:rPr>
        <w:t>Los grandes problemas de México. Población</w:t>
      </w:r>
      <w:r w:rsidRPr="005720A7">
        <w:rPr>
          <w:rFonts w:ascii="Arial" w:hAnsi="Arial" w:cs="Arial"/>
        </w:rPr>
        <w:t xml:space="preserve"> (pp.29-52). B. García y M. Ordorica (coords.). El Colegio de México: México, D.F.</w:t>
      </w:r>
    </w:p>
  </w:footnote>
  <w:footnote w:id="14">
    <w:p w14:paraId="27EF9CC8" w14:textId="77777777" w:rsidR="00CF252E" w:rsidRPr="005720A7" w:rsidRDefault="00CF252E" w:rsidP="00F12B1B">
      <w:pPr>
        <w:pStyle w:val="Textonotapie"/>
        <w:ind w:left="227" w:hanging="227"/>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5720A7">
        <w:rPr>
          <w:rFonts w:ascii="Arial" w:hAnsi="Arial" w:cs="Arial"/>
        </w:rPr>
        <w:t xml:space="preserve">Frenk, J. </w:t>
      </w:r>
      <w:r w:rsidRPr="005720A7">
        <w:rPr>
          <w:rFonts w:ascii="Arial" w:hAnsi="Arial" w:cs="Arial"/>
          <w:i/>
        </w:rPr>
        <w:t>et al</w:t>
      </w:r>
      <w:r w:rsidRPr="005720A7">
        <w:rPr>
          <w:rFonts w:ascii="Arial" w:hAnsi="Arial" w:cs="Arial"/>
        </w:rPr>
        <w:t xml:space="preserve">. (1991). La transición epidemiológica en América Latina (The epidemiologic transition in Latin America). </w:t>
      </w:r>
      <w:r w:rsidRPr="005720A7">
        <w:rPr>
          <w:rFonts w:ascii="Arial" w:hAnsi="Arial" w:cs="Arial"/>
          <w:i/>
        </w:rPr>
        <w:t>Boletín de la Oficina Sanitaria Panamericana</w:t>
      </w:r>
      <w:r w:rsidRPr="005720A7">
        <w:rPr>
          <w:rFonts w:ascii="Arial" w:hAnsi="Arial" w:cs="Arial"/>
        </w:rPr>
        <w:t>, 111(6); pp. 485-496.</w:t>
      </w:r>
    </w:p>
  </w:footnote>
  <w:footnote w:id="15">
    <w:p w14:paraId="2E5E5A88" w14:textId="77777777" w:rsidR="00CF252E" w:rsidRPr="008D368C" w:rsidRDefault="00CF252E" w:rsidP="00B350E5">
      <w:pPr>
        <w:pStyle w:val="Textonotapie"/>
        <w:rPr>
          <w:rFonts w:ascii="Arial" w:hAnsi="Arial" w:cs="Arial"/>
        </w:rPr>
      </w:pPr>
      <w:r w:rsidRPr="005720A7">
        <w:rPr>
          <w:rStyle w:val="Refdenotaalpie"/>
          <w:rFonts w:ascii="Arial" w:hAnsi="Arial" w:cs="Arial"/>
        </w:rPr>
        <w:footnoteRef/>
      </w:r>
      <w:r w:rsidRPr="005720A7">
        <w:rPr>
          <w:rFonts w:ascii="Arial" w:hAnsi="Arial" w:cs="Arial"/>
        </w:rPr>
        <w:t xml:space="preserve"> Mina, </w:t>
      </w:r>
      <w:r w:rsidRPr="005720A7">
        <w:rPr>
          <w:rFonts w:ascii="Arial" w:hAnsi="Arial" w:cs="Arial"/>
          <w:i/>
        </w:rPr>
        <w:t>Op. cit.</w:t>
      </w:r>
      <w:r w:rsidRPr="005720A7">
        <w:rPr>
          <w:rFonts w:ascii="Arial" w:hAnsi="Arial" w:cs="Arial"/>
        </w:rPr>
        <w:t>, p.81.</w:t>
      </w:r>
    </w:p>
  </w:footnote>
  <w:footnote w:id="16">
    <w:p w14:paraId="74C3DDE2" w14:textId="77777777" w:rsidR="00CF252E" w:rsidRPr="005720A7" w:rsidRDefault="00CF252E" w:rsidP="00F12B1B">
      <w:pPr>
        <w:pStyle w:val="Textonotapie"/>
        <w:ind w:left="227" w:hanging="227"/>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5720A7">
        <w:rPr>
          <w:rFonts w:ascii="Arial" w:hAnsi="Arial" w:cs="Arial"/>
        </w:rPr>
        <w:t xml:space="preserve">Frenk, J., Bobadilla, J., Stern, C., Frejka, T., Lozano, R. (1991a). Elementos para una teoría de la transición en salud. </w:t>
      </w:r>
      <w:r w:rsidRPr="005720A7">
        <w:rPr>
          <w:rFonts w:ascii="Arial" w:hAnsi="Arial" w:cs="Arial"/>
          <w:i/>
        </w:rPr>
        <w:t>Salud Pública de México</w:t>
      </w:r>
      <w:r w:rsidRPr="005720A7">
        <w:rPr>
          <w:rFonts w:ascii="Arial" w:hAnsi="Arial" w:cs="Arial"/>
        </w:rPr>
        <w:t>, 33(5), pp. 448-462.</w:t>
      </w:r>
    </w:p>
  </w:footnote>
  <w:footnote w:id="17">
    <w:p w14:paraId="19241613" w14:textId="6AE23FA2" w:rsidR="00CF252E" w:rsidRPr="005720A7" w:rsidRDefault="00CF252E" w:rsidP="00B350E5">
      <w:pPr>
        <w:pStyle w:val="Textonotapie"/>
        <w:rPr>
          <w:rFonts w:ascii="Arial" w:hAnsi="Arial" w:cs="Arial"/>
        </w:rPr>
      </w:pPr>
      <w:r w:rsidRPr="005720A7">
        <w:rPr>
          <w:rStyle w:val="Refdenotaalpie"/>
          <w:rFonts w:ascii="Arial" w:hAnsi="Arial" w:cs="Arial"/>
        </w:rPr>
        <w:footnoteRef/>
      </w:r>
      <w:r w:rsidRPr="005720A7">
        <w:rPr>
          <w:rFonts w:ascii="Arial" w:hAnsi="Arial" w:cs="Arial"/>
        </w:rPr>
        <w:t xml:space="preserve"> Frenk </w:t>
      </w:r>
      <w:r w:rsidRPr="005720A7">
        <w:rPr>
          <w:rFonts w:ascii="Arial" w:hAnsi="Arial" w:cs="Arial"/>
          <w:i/>
        </w:rPr>
        <w:t>et al.</w:t>
      </w:r>
      <w:r w:rsidRPr="005720A7">
        <w:rPr>
          <w:rFonts w:ascii="Arial" w:hAnsi="Arial" w:cs="Arial"/>
        </w:rPr>
        <w:t xml:space="preserve">, </w:t>
      </w:r>
      <w:r w:rsidRPr="005720A7">
        <w:rPr>
          <w:rFonts w:ascii="Arial" w:hAnsi="Arial" w:cs="Arial"/>
          <w:i/>
        </w:rPr>
        <w:t>Op. cit.</w:t>
      </w:r>
      <w:r w:rsidRPr="005720A7">
        <w:rPr>
          <w:rFonts w:ascii="Arial" w:hAnsi="Arial" w:cs="Arial"/>
        </w:rPr>
        <w:t>, p. 487.</w:t>
      </w:r>
    </w:p>
  </w:footnote>
  <w:footnote w:id="18">
    <w:p w14:paraId="186F8AD5" w14:textId="77777777" w:rsidR="00CF252E" w:rsidRPr="005720A7" w:rsidRDefault="00CF252E" w:rsidP="00F12B1B">
      <w:pPr>
        <w:pStyle w:val="Textonotapie"/>
        <w:ind w:left="227" w:hanging="227"/>
        <w:rPr>
          <w:rFonts w:ascii="Arial" w:hAnsi="Arial" w:cs="Arial"/>
        </w:rPr>
      </w:pPr>
      <w:r w:rsidRPr="005720A7">
        <w:rPr>
          <w:rStyle w:val="Refdenotaalpie"/>
          <w:rFonts w:ascii="Arial" w:hAnsi="Arial" w:cs="Arial"/>
        </w:rPr>
        <w:footnoteRef/>
      </w:r>
      <w:r w:rsidRPr="005720A7">
        <w:rPr>
          <w:rFonts w:ascii="Arial" w:hAnsi="Arial" w:cs="Arial"/>
        </w:rPr>
        <w:t xml:space="preserve"> SSA (s.f.). Anuario de Morbilidad de México, 1984-2017. Consultado el 14/02/2019 de http://187.191.75.115/anuario/html/morbilidad_nacional.html</w:t>
      </w:r>
    </w:p>
  </w:footnote>
  <w:footnote w:id="19">
    <w:p w14:paraId="0A2DBC23" w14:textId="77777777" w:rsidR="00CF252E" w:rsidRPr="008D368C" w:rsidRDefault="00CF252E" w:rsidP="00B350E5">
      <w:pPr>
        <w:pStyle w:val="Textonotapie"/>
        <w:jc w:val="both"/>
        <w:rPr>
          <w:rFonts w:ascii="Arial" w:hAnsi="Arial" w:cs="Arial"/>
        </w:rPr>
      </w:pPr>
      <w:r w:rsidRPr="005720A7">
        <w:rPr>
          <w:rStyle w:val="Refdenotaalpie"/>
          <w:rFonts w:ascii="Arial" w:hAnsi="Arial" w:cs="Arial"/>
        </w:rPr>
        <w:footnoteRef/>
      </w:r>
      <w:r w:rsidRPr="005720A7">
        <w:rPr>
          <w:rFonts w:ascii="Arial" w:hAnsi="Arial" w:cs="Arial"/>
        </w:rPr>
        <w:t xml:space="preserve"> </w:t>
      </w:r>
      <w:r w:rsidRPr="005720A7">
        <w:rPr>
          <w:rFonts w:ascii="Arial" w:hAnsi="Arial" w:cs="Arial"/>
          <w:i/>
        </w:rPr>
        <w:t>Ibídem</w:t>
      </w:r>
      <w:r w:rsidRPr="005720A7">
        <w:rPr>
          <w:rFonts w:ascii="Arial" w:hAnsi="Arial" w:cs="Arial"/>
        </w:rPr>
        <w:t>.</w:t>
      </w:r>
    </w:p>
  </w:footnote>
  <w:footnote w:id="20">
    <w:p w14:paraId="17974B61" w14:textId="77777777" w:rsidR="00CF252E" w:rsidRPr="00453AAE" w:rsidRDefault="00CF252E" w:rsidP="00B350E5">
      <w:pPr>
        <w:pStyle w:val="Textonotapie"/>
        <w:rPr>
          <w:rFonts w:ascii="Arial" w:hAnsi="Arial" w:cs="Arial"/>
        </w:rPr>
      </w:pPr>
      <w:r w:rsidRPr="00453AAE">
        <w:rPr>
          <w:rStyle w:val="Refdenotaalpie"/>
          <w:rFonts w:ascii="Arial" w:hAnsi="Arial" w:cs="Arial"/>
        </w:rPr>
        <w:footnoteRef/>
      </w:r>
      <w:r w:rsidRPr="00453AAE">
        <w:rPr>
          <w:rFonts w:ascii="Arial" w:hAnsi="Arial" w:cs="Arial"/>
        </w:rPr>
        <w:t xml:space="preserve"> Mina, </w:t>
      </w:r>
      <w:r w:rsidRPr="00453AAE">
        <w:rPr>
          <w:rFonts w:ascii="Arial" w:hAnsi="Arial" w:cs="Arial"/>
          <w:i/>
        </w:rPr>
        <w:t>Op. cit.</w:t>
      </w:r>
      <w:r w:rsidRPr="00453AAE">
        <w:rPr>
          <w:rFonts w:ascii="Arial" w:hAnsi="Arial" w:cs="Arial"/>
        </w:rPr>
        <w:t>, p. 92.</w:t>
      </w:r>
    </w:p>
  </w:footnote>
  <w:footnote w:id="21">
    <w:p w14:paraId="223398B7" w14:textId="77777777" w:rsidR="00CF252E" w:rsidRDefault="00CF252E" w:rsidP="00453AAE">
      <w:pPr>
        <w:pStyle w:val="Textonotapie"/>
        <w:ind w:left="170" w:hanging="170"/>
      </w:pPr>
      <w:r w:rsidRPr="00453AAE">
        <w:rPr>
          <w:rStyle w:val="Refdenotaalpie"/>
          <w:rFonts w:ascii="Arial" w:hAnsi="Arial" w:cs="Arial"/>
        </w:rPr>
        <w:footnoteRef/>
      </w:r>
      <w:r w:rsidRPr="00453AAE">
        <w:rPr>
          <w:rFonts w:ascii="Arial" w:hAnsi="Arial" w:cs="Arial"/>
        </w:rPr>
        <w:t xml:space="preserve"> </w:t>
      </w:r>
      <w:r w:rsidRPr="005720A7">
        <w:rPr>
          <w:rFonts w:ascii="Arial" w:hAnsi="Arial" w:cs="Arial"/>
        </w:rPr>
        <w:t xml:space="preserve">Solís, P. (1999). El ingreso a la cuarta edad en México: una aproximación a su intensidad, calendario e implicaciones en el apoyo familiar y social de los ancianos. </w:t>
      </w:r>
      <w:r w:rsidRPr="005720A7">
        <w:rPr>
          <w:rFonts w:ascii="Arial" w:hAnsi="Arial" w:cs="Arial"/>
          <w:i/>
        </w:rPr>
        <w:t>Papeles de Población</w:t>
      </w:r>
      <w:r w:rsidRPr="005720A7">
        <w:rPr>
          <w:rFonts w:ascii="Arial" w:hAnsi="Arial" w:cs="Arial"/>
        </w:rPr>
        <w:t>, 5(19), pp. 43-63.</w:t>
      </w:r>
    </w:p>
  </w:footnote>
  <w:footnote w:id="22">
    <w:p w14:paraId="30765B1B" w14:textId="77777777" w:rsidR="00CF252E" w:rsidRPr="008D368C" w:rsidRDefault="00CF252E"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8D368C">
        <w:rPr>
          <w:rFonts w:ascii="Arial" w:hAnsi="Arial" w:cs="Arial"/>
          <w:i/>
        </w:rPr>
        <w:t>Ibídem</w:t>
      </w:r>
      <w:r w:rsidRPr="008D368C">
        <w:rPr>
          <w:rFonts w:ascii="Arial" w:hAnsi="Arial" w:cs="Arial"/>
        </w:rPr>
        <w:t>.</w:t>
      </w:r>
    </w:p>
  </w:footnote>
  <w:footnote w:id="23">
    <w:p w14:paraId="4791DE3E" w14:textId="77777777" w:rsidR="00CF252E" w:rsidRPr="008D368C" w:rsidRDefault="00CF252E"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w:t>
      </w:r>
      <w:r w:rsidRPr="008D368C">
        <w:rPr>
          <w:rFonts w:ascii="Arial" w:hAnsi="Arial" w:cs="Arial"/>
          <w:i/>
        </w:rPr>
        <w:t>Ibídem</w:t>
      </w:r>
      <w:r w:rsidRPr="008D368C">
        <w:rPr>
          <w:rFonts w:ascii="Arial" w:hAnsi="Arial" w:cs="Arial"/>
        </w:rPr>
        <w:t>.</w:t>
      </w:r>
    </w:p>
  </w:footnote>
  <w:footnote w:id="24">
    <w:p w14:paraId="4207DCA5" w14:textId="6E862777" w:rsidR="00CF252E" w:rsidRPr="005720A7" w:rsidRDefault="00CF252E" w:rsidP="00F12B1B">
      <w:pPr>
        <w:pStyle w:val="Textonotapie"/>
        <w:ind w:left="227" w:hanging="227"/>
        <w:rPr>
          <w:rFonts w:ascii="Arial" w:hAnsi="Arial" w:cs="Arial"/>
        </w:rPr>
      </w:pPr>
      <w:r w:rsidRPr="005720A7">
        <w:rPr>
          <w:rStyle w:val="Refdenotaalpie"/>
          <w:rFonts w:ascii="Arial" w:hAnsi="Arial" w:cs="Arial"/>
        </w:rPr>
        <w:footnoteRef/>
      </w:r>
      <w:r w:rsidRPr="005720A7">
        <w:rPr>
          <w:rFonts w:ascii="Arial" w:hAnsi="Arial" w:cs="Arial"/>
        </w:rPr>
        <w:t xml:space="preserve"> Lozano, R., Gómez, H., Garrido, F., Jiménez, A., Campuzano, J., Franco, F., Murray, C. (2013). La carga de enfermedad, lesiones, factores de riesgo y desafíos para el sistema de salud en México. </w:t>
      </w:r>
      <w:r w:rsidRPr="005720A7">
        <w:rPr>
          <w:rFonts w:ascii="Arial" w:hAnsi="Arial" w:cs="Arial"/>
          <w:i/>
        </w:rPr>
        <w:t>Salud Pública de México</w:t>
      </w:r>
      <w:r w:rsidRPr="005720A7">
        <w:rPr>
          <w:rFonts w:ascii="Arial" w:hAnsi="Arial" w:cs="Arial"/>
        </w:rPr>
        <w:t>, 55(6), pp. 580-594.</w:t>
      </w:r>
    </w:p>
  </w:footnote>
  <w:footnote w:id="25">
    <w:p w14:paraId="42A883E7" w14:textId="0707FCB7" w:rsidR="00CF252E" w:rsidRPr="008D368C" w:rsidRDefault="00CF252E" w:rsidP="00F12B1B">
      <w:pPr>
        <w:pStyle w:val="Textonotapie"/>
        <w:ind w:left="227" w:hanging="227"/>
        <w:rPr>
          <w:rFonts w:ascii="Arial" w:hAnsi="Arial" w:cs="Arial"/>
        </w:rPr>
      </w:pPr>
      <w:r w:rsidRPr="005720A7">
        <w:rPr>
          <w:rStyle w:val="Refdenotaalpie"/>
          <w:rFonts w:ascii="Arial" w:hAnsi="Arial" w:cs="Arial"/>
        </w:rPr>
        <w:footnoteRef/>
      </w:r>
      <w:r w:rsidRPr="005720A7">
        <w:rPr>
          <w:rFonts w:ascii="Arial" w:hAnsi="Arial" w:cs="Arial"/>
        </w:rPr>
        <w:t xml:space="preserve"> Córdoba, J., Barriguete, J., Lara, A., Barquera, S., Rosas, M., Hernández, M., Aguilar, C. (2008). Las enfermedades crónicas no transmisibles en México: sinopsis epidemiológica y prevención integral. </w:t>
      </w:r>
      <w:r w:rsidRPr="005720A7">
        <w:rPr>
          <w:rFonts w:ascii="Arial" w:hAnsi="Arial" w:cs="Arial"/>
          <w:i/>
        </w:rPr>
        <w:t>Salud Pública de México</w:t>
      </w:r>
      <w:r w:rsidRPr="005720A7">
        <w:rPr>
          <w:rFonts w:ascii="Arial" w:hAnsi="Arial" w:cs="Arial"/>
        </w:rPr>
        <w:t>, 33(5), pp. 448-462.</w:t>
      </w:r>
      <w:r w:rsidRPr="008D368C">
        <w:rPr>
          <w:rFonts w:ascii="Arial" w:hAnsi="Arial" w:cs="Arial"/>
        </w:rPr>
        <w:t xml:space="preserve"> </w:t>
      </w:r>
    </w:p>
  </w:footnote>
  <w:footnote w:id="26">
    <w:p w14:paraId="55D90637" w14:textId="04514FA2" w:rsidR="00CF252E" w:rsidRPr="008D368C" w:rsidRDefault="00CF252E" w:rsidP="00B350E5">
      <w:pPr>
        <w:pStyle w:val="Textonotapie"/>
        <w:rPr>
          <w:rFonts w:ascii="Arial" w:hAnsi="Arial" w:cs="Arial"/>
        </w:rPr>
      </w:pPr>
      <w:r w:rsidRPr="008D368C">
        <w:rPr>
          <w:rStyle w:val="Refdenotaalpie"/>
          <w:rFonts w:ascii="Arial" w:hAnsi="Arial" w:cs="Arial"/>
        </w:rPr>
        <w:footnoteRef/>
      </w:r>
      <w:r w:rsidRPr="008D368C">
        <w:rPr>
          <w:rFonts w:ascii="Arial" w:hAnsi="Arial" w:cs="Arial"/>
        </w:rPr>
        <w:t xml:space="preserve"> Lozano </w:t>
      </w:r>
      <w:r>
        <w:rPr>
          <w:rFonts w:ascii="Arial" w:hAnsi="Arial" w:cs="Arial"/>
          <w:i/>
        </w:rPr>
        <w:t>et</w:t>
      </w:r>
      <w:r w:rsidRPr="008D368C">
        <w:rPr>
          <w:rFonts w:ascii="Arial" w:hAnsi="Arial" w:cs="Arial"/>
          <w:i/>
        </w:rPr>
        <w:t xml:space="preserve"> al.</w:t>
      </w:r>
      <w:r w:rsidRPr="008D368C">
        <w:rPr>
          <w:rFonts w:ascii="Arial" w:hAnsi="Arial" w:cs="Arial"/>
        </w:rPr>
        <w:t xml:space="preserve">, </w:t>
      </w:r>
      <w:r w:rsidRPr="008D368C">
        <w:rPr>
          <w:rFonts w:ascii="Arial" w:hAnsi="Arial" w:cs="Arial"/>
          <w:i/>
        </w:rPr>
        <w:t>Op. cit.</w:t>
      </w:r>
      <w:r w:rsidRPr="008D368C">
        <w:rPr>
          <w:rFonts w:ascii="Arial" w:hAnsi="Arial" w:cs="Arial"/>
        </w:rPr>
        <w:t xml:space="preserve">, p. 83. </w:t>
      </w:r>
    </w:p>
  </w:footnote>
  <w:footnote w:id="27">
    <w:p w14:paraId="01D048E5" w14:textId="77777777" w:rsidR="00CF252E" w:rsidRPr="00CA2FC5" w:rsidRDefault="00CF252E" w:rsidP="00F12B1B">
      <w:pPr>
        <w:pStyle w:val="Textonotapie"/>
        <w:ind w:left="227" w:hanging="227"/>
        <w:rPr>
          <w:rFonts w:ascii="Arial" w:hAnsi="Arial" w:cs="Arial"/>
        </w:rPr>
      </w:pPr>
      <w:r w:rsidRPr="00CA2FC5">
        <w:rPr>
          <w:rStyle w:val="Refdenotaalpie"/>
          <w:rFonts w:ascii="Arial" w:hAnsi="Arial" w:cs="Arial"/>
        </w:rPr>
        <w:footnoteRef/>
      </w:r>
      <w:r w:rsidRPr="00CA2FC5">
        <w:rPr>
          <w:rFonts w:ascii="Arial" w:hAnsi="Arial" w:cs="Arial"/>
        </w:rPr>
        <w:t xml:space="preserve"> INEGI (2019). Defunciones generales en México 2017. Consultado el 05/02/2019 de https://www.inegi.org.mx/programas/mortalidad/.</w:t>
      </w:r>
    </w:p>
  </w:footnote>
  <w:footnote w:id="28">
    <w:p w14:paraId="2E8935A9" w14:textId="77777777" w:rsidR="00CF252E" w:rsidRPr="004361ED" w:rsidRDefault="00CF252E" w:rsidP="00B350E5">
      <w:pPr>
        <w:pStyle w:val="Textonotapie"/>
        <w:rPr>
          <w:rFonts w:ascii="Arial" w:hAnsi="Arial" w:cs="Arial"/>
        </w:rPr>
      </w:pPr>
      <w:r w:rsidRPr="00CA2FC5">
        <w:rPr>
          <w:rStyle w:val="Refdenotaalpie"/>
          <w:rFonts w:ascii="Arial" w:hAnsi="Arial" w:cs="Arial"/>
        </w:rPr>
        <w:footnoteRef/>
      </w:r>
      <w:r w:rsidRPr="00CA2FC5">
        <w:rPr>
          <w:rFonts w:ascii="Arial" w:hAnsi="Arial" w:cs="Arial"/>
        </w:rPr>
        <w:t xml:space="preserve"> Se considera una tasa bruta de mortalidad por cada 10,000 habitantes.</w:t>
      </w:r>
    </w:p>
  </w:footnote>
  <w:footnote w:id="29">
    <w:p w14:paraId="60DC5E46" w14:textId="19055B33" w:rsidR="00CF252E" w:rsidRPr="004361ED" w:rsidRDefault="00CF252E" w:rsidP="00B350E5">
      <w:pPr>
        <w:pStyle w:val="Textonotapie"/>
        <w:rPr>
          <w:rFonts w:ascii="Arial" w:hAnsi="Arial" w:cs="Arial"/>
          <w:lang w:val="en-US"/>
        </w:rPr>
      </w:pPr>
      <w:r w:rsidRPr="004361ED">
        <w:rPr>
          <w:rStyle w:val="Refdenotaalpie"/>
          <w:rFonts w:ascii="Arial" w:hAnsi="Arial" w:cs="Arial"/>
        </w:rPr>
        <w:footnoteRef/>
      </w:r>
      <w:r w:rsidRPr="004361ED">
        <w:rPr>
          <w:rFonts w:ascii="Arial" w:hAnsi="Arial" w:cs="Arial"/>
          <w:lang w:val="en-US"/>
        </w:rPr>
        <w:t xml:space="preserve"> Frenk </w:t>
      </w:r>
      <w:r>
        <w:rPr>
          <w:rFonts w:ascii="Arial" w:hAnsi="Arial" w:cs="Arial"/>
          <w:i/>
          <w:lang w:val="en-US"/>
        </w:rPr>
        <w:t>et</w:t>
      </w:r>
      <w:r w:rsidRPr="004361ED">
        <w:rPr>
          <w:rFonts w:ascii="Arial" w:hAnsi="Arial" w:cs="Arial"/>
          <w:i/>
          <w:lang w:val="en-US"/>
        </w:rPr>
        <w:t xml:space="preserve"> al.</w:t>
      </w:r>
      <w:r w:rsidRPr="004361ED">
        <w:rPr>
          <w:rFonts w:ascii="Arial" w:hAnsi="Arial" w:cs="Arial"/>
          <w:lang w:val="en-US"/>
        </w:rPr>
        <w:t xml:space="preserve"> (1991), </w:t>
      </w:r>
      <w:r w:rsidRPr="004361ED">
        <w:rPr>
          <w:rFonts w:ascii="Arial" w:hAnsi="Arial" w:cs="Arial"/>
          <w:i/>
          <w:lang w:val="en-US"/>
        </w:rPr>
        <w:t>Op. cit.</w:t>
      </w:r>
      <w:r w:rsidRPr="004361ED">
        <w:rPr>
          <w:rFonts w:ascii="Arial" w:hAnsi="Arial" w:cs="Arial"/>
          <w:lang w:val="en-US"/>
        </w:rPr>
        <w:t xml:space="preserve">, p. 487. </w:t>
      </w:r>
    </w:p>
  </w:footnote>
  <w:footnote w:id="30">
    <w:p w14:paraId="01199806" w14:textId="77777777" w:rsidR="00CF252E" w:rsidRPr="00FC657C" w:rsidRDefault="00CF252E" w:rsidP="00B350E5">
      <w:pPr>
        <w:pStyle w:val="Textonotapie"/>
        <w:rPr>
          <w:rFonts w:ascii="Arial" w:hAnsi="Arial" w:cs="Arial"/>
          <w:lang w:val="en-US"/>
        </w:rPr>
      </w:pPr>
      <w:r w:rsidRPr="00FC657C">
        <w:rPr>
          <w:rStyle w:val="Refdenotaalpie"/>
          <w:rFonts w:ascii="Arial" w:hAnsi="Arial" w:cs="Arial"/>
        </w:rPr>
        <w:footnoteRef/>
      </w:r>
      <w:r w:rsidRPr="00FC657C">
        <w:rPr>
          <w:rFonts w:ascii="Arial" w:hAnsi="Arial" w:cs="Arial"/>
          <w:lang w:val="en-US"/>
        </w:rPr>
        <w:t xml:space="preserve"> INEGI (2019), </w:t>
      </w:r>
      <w:r w:rsidRPr="00FC657C">
        <w:rPr>
          <w:rFonts w:ascii="Arial" w:hAnsi="Arial" w:cs="Arial"/>
          <w:i/>
          <w:lang w:val="en-US"/>
        </w:rPr>
        <w:t>Op. cit.</w:t>
      </w:r>
      <w:r w:rsidRPr="00FC657C">
        <w:rPr>
          <w:rFonts w:ascii="Arial" w:hAnsi="Arial" w:cs="Arial"/>
          <w:lang w:val="en-US"/>
        </w:rPr>
        <w:t>, s.p.</w:t>
      </w:r>
    </w:p>
  </w:footnote>
  <w:footnote w:id="31">
    <w:p w14:paraId="4DE9C392" w14:textId="77777777" w:rsidR="00CF252E" w:rsidRPr="003E547C" w:rsidRDefault="00CF252E" w:rsidP="00B350E5">
      <w:pPr>
        <w:pStyle w:val="Textonotapie"/>
        <w:rPr>
          <w:rFonts w:ascii="Arial" w:hAnsi="Arial" w:cs="Arial"/>
          <w:lang w:val="en-US"/>
        </w:rPr>
      </w:pPr>
      <w:r w:rsidRPr="003E547C">
        <w:rPr>
          <w:rStyle w:val="Refdenotaalpie"/>
          <w:rFonts w:ascii="Arial" w:hAnsi="Arial" w:cs="Arial"/>
        </w:rPr>
        <w:footnoteRef/>
      </w:r>
      <w:r w:rsidRPr="003E547C">
        <w:rPr>
          <w:rFonts w:ascii="Arial" w:hAnsi="Arial" w:cs="Arial"/>
          <w:lang w:val="en-US"/>
        </w:rPr>
        <w:t xml:space="preserve"> </w:t>
      </w:r>
      <w:r w:rsidRPr="003E547C">
        <w:rPr>
          <w:rFonts w:ascii="Arial" w:hAnsi="Arial" w:cs="Arial"/>
          <w:i/>
          <w:lang w:val="en-US"/>
        </w:rPr>
        <w:t>Ibídem</w:t>
      </w:r>
      <w:r w:rsidRPr="003E547C">
        <w:rPr>
          <w:rFonts w:ascii="Arial" w:hAnsi="Arial" w:cs="Arial"/>
          <w:lang w:val="en-US"/>
        </w:rPr>
        <w:t xml:space="preserve">. </w:t>
      </w:r>
    </w:p>
  </w:footnote>
  <w:footnote w:id="32">
    <w:p w14:paraId="1C008405" w14:textId="77777777" w:rsidR="00CF252E" w:rsidRPr="004361ED" w:rsidRDefault="00CF252E" w:rsidP="00B350E5">
      <w:pPr>
        <w:pStyle w:val="Textonotapie"/>
        <w:rPr>
          <w:rFonts w:ascii="Arial" w:hAnsi="Arial" w:cs="Arial"/>
          <w:lang w:val="en-US"/>
        </w:rPr>
      </w:pPr>
      <w:r w:rsidRPr="004361ED">
        <w:rPr>
          <w:rStyle w:val="Refdenotaalpie"/>
          <w:rFonts w:ascii="Arial" w:hAnsi="Arial" w:cs="Arial"/>
        </w:rPr>
        <w:footnoteRef/>
      </w:r>
      <w:r w:rsidRPr="004361ED">
        <w:rPr>
          <w:rFonts w:ascii="Arial" w:hAnsi="Arial" w:cs="Arial"/>
          <w:lang w:val="en-US"/>
        </w:rPr>
        <w:t xml:space="preserve"> </w:t>
      </w:r>
      <w:r w:rsidRPr="004361ED">
        <w:rPr>
          <w:rFonts w:ascii="Arial" w:hAnsi="Arial" w:cs="Arial"/>
          <w:i/>
          <w:lang w:val="en-US"/>
        </w:rPr>
        <w:t>Ibídem</w:t>
      </w:r>
      <w:r w:rsidRPr="004361ED">
        <w:rPr>
          <w:rFonts w:ascii="Arial" w:hAnsi="Arial" w:cs="Arial"/>
          <w:lang w:val="en-US"/>
        </w:rPr>
        <w:t>.</w:t>
      </w:r>
    </w:p>
  </w:footnote>
  <w:footnote w:id="33">
    <w:p w14:paraId="5AD579CC" w14:textId="77777777" w:rsidR="00CF252E" w:rsidRPr="00A56C18" w:rsidRDefault="00CF252E" w:rsidP="00B350E5">
      <w:pPr>
        <w:pStyle w:val="Textonotapie"/>
        <w:rPr>
          <w:rFonts w:ascii="Arial" w:hAnsi="Arial" w:cs="Arial"/>
        </w:rPr>
      </w:pPr>
      <w:r w:rsidRPr="004361ED">
        <w:rPr>
          <w:rStyle w:val="Refdenotaalpie"/>
          <w:rFonts w:ascii="Arial" w:hAnsi="Arial" w:cs="Arial"/>
        </w:rPr>
        <w:footnoteRef/>
      </w:r>
      <w:r w:rsidRPr="00A56C18">
        <w:rPr>
          <w:rFonts w:ascii="Arial" w:hAnsi="Arial" w:cs="Arial"/>
        </w:rPr>
        <w:t xml:space="preserve"> </w:t>
      </w:r>
      <w:r w:rsidRPr="00A56C18">
        <w:rPr>
          <w:rFonts w:ascii="Arial" w:hAnsi="Arial" w:cs="Arial"/>
          <w:i/>
        </w:rPr>
        <w:t>Ibídem.</w:t>
      </w:r>
    </w:p>
  </w:footnote>
  <w:footnote w:id="34">
    <w:p w14:paraId="4AAE79F9" w14:textId="77777777" w:rsidR="00CF252E" w:rsidRPr="00FD3A0E" w:rsidRDefault="00CF252E" w:rsidP="00F12B1B">
      <w:pPr>
        <w:pStyle w:val="Textonotapie"/>
        <w:ind w:left="227" w:hanging="227"/>
        <w:rPr>
          <w:rFonts w:ascii="Arial" w:hAnsi="Arial" w:cs="Arial"/>
        </w:rPr>
      </w:pPr>
      <w:r w:rsidRPr="00FD3A0E">
        <w:rPr>
          <w:rStyle w:val="Refdenotaalpie"/>
          <w:rFonts w:ascii="Arial" w:hAnsi="Arial" w:cs="Arial"/>
        </w:rPr>
        <w:footnoteRef/>
      </w:r>
      <w:r w:rsidRPr="00A56C18">
        <w:rPr>
          <w:rFonts w:ascii="Arial" w:hAnsi="Arial" w:cs="Arial"/>
        </w:rPr>
        <w:t xml:space="preserve"> Heinze, G. Olmedo, V., Bazán, G., Bernard, N., Guízar, D. (2018). </w:t>
      </w:r>
      <w:r w:rsidRPr="00FD3A0E">
        <w:rPr>
          <w:rFonts w:ascii="Arial" w:hAnsi="Arial" w:cs="Arial"/>
        </w:rPr>
        <w:t xml:space="preserve">Los médicos especialistas en México. </w:t>
      </w:r>
      <w:r w:rsidRPr="00FD3A0E">
        <w:rPr>
          <w:rFonts w:ascii="Arial" w:hAnsi="Arial" w:cs="Arial"/>
          <w:i/>
        </w:rPr>
        <w:t>Gaceta Médica de México</w:t>
      </w:r>
      <w:r w:rsidRPr="00FD3A0E">
        <w:rPr>
          <w:rFonts w:ascii="Arial" w:hAnsi="Arial" w:cs="Arial"/>
        </w:rPr>
        <w:t>, vol. 154, pp. 342-351.</w:t>
      </w:r>
    </w:p>
  </w:footnote>
  <w:footnote w:id="35">
    <w:p w14:paraId="228A30C2" w14:textId="77777777" w:rsidR="00CF252E" w:rsidRPr="00FD3A0E" w:rsidRDefault="00CF252E" w:rsidP="004361ED">
      <w:pPr>
        <w:pStyle w:val="Textonotapie"/>
        <w:rPr>
          <w:rFonts w:ascii="Arial" w:hAnsi="Arial" w:cs="Arial"/>
        </w:rPr>
      </w:pPr>
      <w:r w:rsidRPr="00FD3A0E">
        <w:rPr>
          <w:rStyle w:val="Refdenotaalpie"/>
          <w:rFonts w:ascii="Arial" w:hAnsi="Arial" w:cs="Arial"/>
        </w:rPr>
        <w:footnoteRef/>
      </w:r>
      <w:r w:rsidRPr="00A56C18">
        <w:rPr>
          <w:rFonts w:ascii="Arial" w:hAnsi="Arial" w:cs="Arial"/>
        </w:rPr>
        <w:t xml:space="preserve"> OCDE (2017). Health at a Glance 2017: OECD Indicators. </w:t>
      </w:r>
      <w:r w:rsidRPr="00FD3A0E">
        <w:rPr>
          <w:rFonts w:ascii="Arial" w:hAnsi="Arial" w:cs="Arial"/>
        </w:rPr>
        <w:t>OCDE Publicaciones: París.</w:t>
      </w:r>
    </w:p>
  </w:footnote>
  <w:footnote w:id="36">
    <w:p w14:paraId="2A7D3A26" w14:textId="77777777" w:rsidR="00CF252E" w:rsidRPr="00A56C18" w:rsidRDefault="00CF252E" w:rsidP="004361ED">
      <w:pPr>
        <w:pStyle w:val="Textonotapie"/>
        <w:rPr>
          <w:rFonts w:ascii="Arial" w:hAnsi="Arial" w:cs="Arial"/>
          <w:lang w:val="en-US"/>
        </w:rPr>
      </w:pPr>
      <w:r w:rsidRPr="00FD3A0E">
        <w:rPr>
          <w:rStyle w:val="Refdenotaalpie"/>
          <w:rFonts w:ascii="Arial" w:hAnsi="Arial" w:cs="Arial"/>
        </w:rPr>
        <w:footnoteRef/>
      </w:r>
      <w:r w:rsidRPr="00A56C18">
        <w:rPr>
          <w:rFonts w:ascii="Arial" w:hAnsi="Arial" w:cs="Arial"/>
          <w:lang w:val="en-US"/>
        </w:rPr>
        <w:t xml:space="preserve"> </w:t>
      </w:r>
      <w:r w:rsidRPr="00A56C18">
        <w:rPr>
          <w:rFonts w:ascii="Arial" w:hAnsi="Arial" w:cs="Arial"/>
          <w:i/>
          <w:lang w:val="en-US"/>
        </w:rPr>
        <w:t>Ibídem</w:t>
      </w:r>
      <w:r w:rsidRPr="00A56C18">
        <w:rPr>
          <w:rFonts w:ascii="Arial" w:hAnsi="Arial" w:cs="Arial"/>
          <w:lang w:val="en-US"/>
        </w:rPr>
        <w:t>.</w:t>
      </w:r>
    </w:p>
  </w:footnote>
  <w:footnote w:id="37">
    <w:p w14:paraId="212C9C13" w14:textId="49D88F52" w:rsidR="00CF252E" w:rsidRPr="00A56C18" w:rsidRDefault="00CF252E" w:rsidP="004361ED">
      <w:pPr>
        <w:pStyle w:val="Textonotapie"/>
        <w:rPr>
          <w:rFonts w:ascii="Arial" w:hAnsi="Arial" w:cs="Arial"/>
          <w:lang w:val="en-US"/>
        </w:rPr>
      </w:pPr>
      <w:r w:rsidRPr="004361ED">
        <w:rPr>
          <w:rStyle w:val="Refdenotaalpie"/>
          <w:rFonts w:ascii="Arial" w:hAnsi="Arial" w:cs="Arial"/>
        </w:rPr>
        <w:footnoteRef/>
      </w:r>
      <w:r w:rsidRPr="00A56C18">
        <w:rPr>
          <w:rFonts w:ascii="Arial" w:hAnsi="Arial" w:cs="Arial"/>
          <w:lang w:val="en-US"/>
        </w:rPr>
        <w:t xml:space="preserve"> Heinze </w:t>
      </w:r>
      <w:r w:rsidRPr="00A56C18">
        <w:rPr>
          <w:rFonts w:ascii="Arial" w:hAnsi="Arial" w:cs="Arial"/>
          <w:i/>
          <w:lang w:val="en-US"/>
        </w:rPr>
        <w:t>et al.</w:t>
      </w:r>
      <w:r w:rsidRPr="00A56C18">
        <w:rPr>
          <w:rFonts w:ascii="Arial" w:hAnsi="Arial" w:cs="Arial"/>
          <w:lang w:val="en-US"/>
        </w:rPr>
        <w:t xml:space="preserve">, </w:t>
      </w:r>
      <w:r w:rsidRPr="00A56C18">
        <w:rPr>
          <w:rFonts w:ascii="Arial" w:hAnsi="Arial" w:cs="Arial"/>
          <w:i/>
          <w:lang w:val="en-US"/>
        </w:rPr>
        <w:t>op. cit.</w:t>
      </w:r>
      <w:r w:rsidRPr="00A56C18">
        <w:rPr>
          <w:rFonts w:ascii="Arial" w:hAnsi="Arial" w:cs="Arial"/>
          <w:lang w:val="en-US"/>
        </w:rPr>
        <w:t>, p. 346.</w:t>
      </w:r>
    </w:p>
  </w:footnote>
  <w:footnote w:id="38">
    <w:p w14:paraId="476C3754" w14:textId="77777777" w:rsidR="00CF252E" w:rsidRPr="00FD3A0E" w:rsidRDefault="00CF252E" w:rsidP="00F12B1B">
      <w:pPr>
        <w:pStyle w:val="Textonotapie"/>
        <w:ind w:left="227" w:hanging="227"/>
        <w:rPr>
          <w:rFonts w:ascii="Arial" w:hAnsi="Arial" w:cs="Arial"/>
        </w:rPr>
      </w:pPr>
      <w:r w:rsidRPr="00FD3A0E">
        <w:rPr>
          <w:rStyle w:val="Refdenotaalpie"/>
          <w:rFonts w:ascii="Arial" w:hAnsi="Arial" w:cs="Arial"/>
        </w:rPr>
        <w:footnoteRef/>
      </w:r>
      <w:r w:rsidRPr="00A56C18">
        <w:rPr>
          <w:rFonts w:ascii="Arial" w:hAnsi="Arial" w:cs="Arial"/>
          <w:lang w:val="en-US"/>
        </w:rPr>
        <w:t xml:space="preserve"> SSA (2019). </w:t>
      </w:r>
      <w:r w:rsidRPr="00FD3A0E">
        <w:rPr>
          <w:rFonts w:ascii="Arial" w:hAnsi="Arial" w:cs="Arial"/>
          <w:i/>
        </w:rPr>
        <w:t>Recursos en Salud 2017</w:t>
      </w:r>
      <w:r w:rsidRPr="00FD3A0E">
        <w:rPr>
          <w:rFonts w:ascii="Arial" w:hAnsi="Arial" w:cs="Arial"/>
        </w:rPr>
        <w:t>. Consultado el 28/02/2019 de https://datos.gob.mx/busca/dataset/recursos-en-salud-nivel-central</w:t>
      </w:r>
    </w:p>
  </w:footnote>
  <w:footnote w:id="39">
    <w:p w14:paraId="1D9374B9" w14:textId="77777777" w:rsidR="00CF252E" w:rsidRPr="00FD3A0E" w:rsidRDefault="00CF252E" w:rsidP="00F12B1B">
      <w:pPr>
        <w:pStyle w:val="Textonotapie"/>
        <w:ind w:left="227" w:hanging="227"/>
        <w:rPr>
          <w:rFonts w:ascii="Arial" w:hAnsi="Arial" w:cs="Arial"/>
        </w:rPr>
      </w:pPr>
      <w:r w:rsidRPr="00FD3A0E">
        <w:rPr>
          <w:rStyle w:val="Refdenotaalpie"/>
          <w:rFonts w:ascii="Arial" w:hAnsi="Arial" w:cs="Arial"/>
        </w:rPr>
        <w:footnoteRef/>
      </w:r>
      <w:r w:rsidRPr="00FD3A0E">
        <w:rPr>
          <w:rFonts w:ascii="Arial" w:hAnsi="Arial" w:cs="Arial"/>
        </w:rPr>
        <w:t xml:space="preserve"> INEGI (2018). </w:t>
      </w:r>
      <w:r w:rsidRPr="00FD3A0E">
        <w:rPr>
          <w:rFonts w:ascii="Arial" w:hAnsi="Arial" w:cs="Arial"/>
          <w:i/>
        </w:rPr>
        <w:t>Salud en establecimientos particulares 2017</w:t>
      </w:r>
      <w:r w:rsidRPr="00FD3A0E">
        <w:rPr>
          <w:rFonts w:ascii="Arial" w:hAnsi="Arial" w:cs="Arial"/>
        </w:rPr>
        <w:t>. Consultado el 8/03/2019 de https://www.inegi.org.mx/programas/salud/default.html#Datos_abiertos</w:t>
      </w:r>
    </w:p>
  </w:footnote>
  <w:footnote w:id="40">
    <w:p w14:paraId="3CF1A391" w14:textId="77777777" w:rsidR="00CF252E" w:rsidRPr="00333C17" w:rsidRDefault="00CF252E" w:rsidP="00F12B1B">
      <w:pPr>
        <w:pStyle w:val="Textonotapie"/>
        <w:ind w:left="227" w:hanging="227"/>
        <w:rPr>
          <w:rFonts w:ascii="Arial" w:hAnsi="Arial" w:cs="Arial"/>
        </w:rPr>
      </w:pPr>
      <w:r w:rsidRPr="00FD3A0E">
        <w:rPr>
          <w:rStyle w:val="Refdenotaalpie"/>
          <w:rFonts w:ascii="Arial" w:hAnsi="Arial" w:cs="Arial"/>
        </w:rPr>
        <w:footnoteRef/>
      </w:r>
      <w:r w:rsidRPr="00FD3A0E">
        <w:rPr>
          <w:rFonts w:ascii="Arial" w:hAnsi="Arial" w:cs="Arial"/>
        </w:rPr>
        <w:t xml:space="preserve"> Fajardo, G., García, S., Gonzáles, J.F. (2015) La planificación y formación de médicos especialistas en México. En </w:t>
      </w:r>
      <w:r w:rsidRPr="00FD3A0E">
        <w:rPr>
          <w:rFonts w:ascii="Arial" w:hAnsi="Arial" w:cs="Arial"/>
          <w:i/>
        </w:rPr>
        <w:t>La formación de médicos especialistas en México. Documento de postura</w:t>
      </w:r>
      <w:r w:rsidRPr="00FD3A0E">
        <w:rPr>
          <w:rFonts w:ascii="Arial" w:hAnsi="Arial" w:cs="Arial"/>
        </w:rPr>
        <w:t>. (pp. 31-42). Fajardo, G., Santacruz, J. y C. Lavalle (coords.); Academia Nacional de Medicina de México y Consejo Nacional de Ciencia y Tecnología; Ciudad de México.</w:t>
      </w:r>
    </w:p>
  </w:footnote>
  <w:footnote w:id="41">
    <w:p w14:paraId="1D1CBAA9" w14:textId="77777777" w:rsidR="00CF252E" w:rsidRPr="00FD3A0E" w:rsidRDefault="00CF252E" w:rsidP="00F12B1B">
      <w:pPr>
        <w:pStyle w:val="Textonotapie"/>
        <w:ind w:left="227" w:hanging="227"/>
        <w:rPr>
          <w:rFonts w:ascii="Arial" w:hAnsi="Arial" w:cs="Arial"/>
        </w:rPr>
      </w:pPr>
      <w:r w:rsidRPr="00FD3A0E">
        <w:rPr>
          <w:rStyle w:val="Refdenotaalpie"/>
          <w:rFonts w:ascii="Arial" w:hAnsi="Arial" w:cs="Arial"/>
        </w:rPr>
        <w:footnoteRef/>
      </w:r>
      <w:r w:rsidRPr="00FD3A0E">
        <w:rPr>
          <w:rFonts w:ascii="Arial" w:hAnsi="Arial" w:cs="Arial"/>
        </w:rPr>
        <w:t xml:space="preserve"> SSA (s.f. a). </w:t>
      </w:r>
      <w:r w:rsidRPr="00FD3A0E">
        <w:rPr>
          <w:rFonts w:ascii="Arial" w:hAnsi="Arial" w:cs="Arial"/>
          <w:i/>
        </w:rPr>
        <w:t>Registro de egresos hospitalarios 2017</w:t>
      </w:r>
      <w:r w:rsidRPr="00FD3A0E">
        <w:rPr>
          <w:rFonts w:ascii="Arial" w:hAnsi="Arial" w:cs="Arial"/>
        </w:rPr>
        <w:t xml:space="preserve">. </w:t>
      </w:r>
      <w:r w:rsidRPr="00FD3A0E">
        <w:rPr>
          <w:rFonts w:ascii="Arial" w:hAnsi="Arial" w:cs="Arial"/>
          <w:i/>
        </w:rPr>
        <w:t>Procedimientos.</w:t>
      </w:r>
      <w:r w:rsidRPr="00FD3A0E">
        <w:rPr>
          <w:rFonts w:ascii="Arial" w:hAnsi="Arial" w:cs="Arial"/>
        </w:rPr>
        <w:t xml:space="preserve"> Consultado el 05/03/2019 de http://www.dgis.salud.gob.mx/contenidos/basesdedatos/da_egresoshosp_gobmx.html</w:t>
      </w:r>
    </w:p>
  </w:footnote>
  <w:footnote w:id="42">
    <w:p w14:paraId="723195B8" w14:textId="77777777" w:rsidR="00CF252E" w:rsidRPr="00333C17" w:rsidRDefault="00CF252E" w:rsidP="004361ED">
      <w:pPr>
        <w:pStyle w:val="Textonotapie"/>
        <w:rPr>
          <w:rFonts w:ascii="Arial" w:hAnsi="Arial" w:cs="Arial"/>
          <w:lang w:val="en-US"/>
        </w:rPr>
      </w:pPr>
      <w:r w:rsidRPr="00FD3A0E">
        <w:rPr>
          <w:rStyle w:val="Refdenotaalpie"/>
          <w:rFonts w:ascii="Arial" w:hAnsi="Arial" w:cs="Arial"/>
        </w:rPr>
        <w:footnoteRef/>
      </w:r>
      <w:r w:rsidRPr="00FD3A0E">
        <w:rPr>
          <w:rFonts w:ascii="Arial" w:hAnsi="Arial" w:cs="Arial"/>
          <w:lang w:val="en-US"/>
        </w:rPr>
        <w:t xml:space="preserve"> </w:t>
      </w:r>
      <w:r w:rsidRPr="00FD3A0E">
        <w:rPr>
          <w:rFonts w:ascii="Arial" w:hAnsi="Arial" w:cs="Arial"/>
          <w:i/>
          <w:lang w:val="en-US"/>
        </w:rPr>
        <w:t>Ibídem</w:t>
      </w:r>
      <w:r w:rsidRPr="00FD3A0E">
        <w:rPr>
          <w:rFonts w:ascii="Arial" w:hAnsi="Arial" w:cs="Arial"/>
          <w:lang w:val="en-US"/>
        </w:rPr>
        <w:t>.</w:t>
      </w:r>
    </w:p>
  </w:footnote>
  <w:footnote w:id="43">
    <w:p w14:paraId="7349BA1D" w14:textId="77777777" w:rsidR="00CF252E" w:rsidRPr="00FD3A0E" w:rsidRDefault="00CF252E" w:rsidP="00F12B1B">
      <w:pPr>
        <w:pStyle w:val="Textonotapie"/>
        <w:ind w:left="227" w:hanging="227"/>
        <w:rPr>
          <w:rFonts w:ascii="Arial" w:hAnsi="Arial" w:cs="Arial"/>
        </w:rPr>
      </w:pPr>
      <w:r w:rsidRPr="00FD3A0E">
        <w:rPr>
          <w:rStyle w:val="Refdenotaalpie"/>
          <w:rFonts w:ascii="Arial" w:hAnsi="Arial" w:cs="Arial"/>
        </w:rPr>
        <w:footnoteRef/>
      </w:r>
      <w:r w:rsidRPr="00FD3A0E">
        <w:rPr>
          <w:rFonts w:ascii="Arial" w:hAnsi="Arial" w:cs="Arial"/>
          <w:lang w:val="en-US"/>
        </w:rPr>
        <w:t xml:space="preserve"> Meara, J., Leather, A., Hagander, L., Akire, B., Alonso, N., Ameh, E. … Yip, W. (2015). Global Surgery 2030: evidence and solutions for achieving healt, welfare, and economic development. </w:t>
      </w:r>
      <w:r w:rsidRPr="00FD3A0E">
        <w:rPr>
          <w:rFonts w:ascii="Arial" w:hAnsi="Arial" w:cs="Arial"/>
          <w:i/>
        </w:rPr>
        <w:t>The Lancet</w:t>
      </w:r>
      <w:r w:rsidRPr="00FD3A0E">
        <w:rPr>
          <w:rFonts w:ascii="Arial" w:hAnsi="Arial" w:cs="Arial"/>
        </w:rPr>
        <w:t>, vol. 386 (9993), pp. 569-624.</w:t>
      </w:r>
    </w:p>
  </w:footnote>
  <w:footnote w:id="44">
    <w:p w14:paraId="6E75D78E" w14:textId="77777777" w:rsidR="00CF252E" w:rsidRPr="00FD3A0E" w:rsidRDefault="00CF252E" w:rsidP="00F12B1B">
      <w:pPr>
        <w:pStyle w:val="Textonotapie"/>
        <w:ind w:left="227" w:hanging="227"/>
        <w:rPr>
          <w:rFonts w:ascii="Arial" w:hAnsi="Arial" w:cs="Arial"/>
        </w:rPr>
      </w:pPr>
      <w:r w:rsidRPr="00FD3A0E">
        <w:rPr>
          <w:rStyle w:val="Refdenotaalpie"/>
          <w:rFonts w:ascii="Arial" w:hAnsi="Arial" w:cs="Arial"/>
        </w:rPr>
        <w:footnoteRef/>
      </w:r>
      <w:r w:rsidRPr="00FD3A0E">
        <w:rPr>
          <w:rFonts w:ascii="Arial" w:hAnsi="Arial" w:cs="Arial"/>
        </w:rPr>
        <w:t xml:space="preserve"> Plancarte, R., Carrillo, R. (2015). Anestesiología. En </w:t>
      </w:r>
      <w:r w:rsidRPr="00FD3A0E">
        <w:rPr>
          <w:rFonts w:ascii="Arial" w:hAnsi="Arial" w:cs="Arial"/>
          <w:i/>
        </w:rPr>
        <w:t>Estado del Arte de la Medicina: 2013-2014 Cirugía</w:t>
      </w:r>
      <w:r w:rsidRPr="00FD3A0E">
        <w:rPr>
          <w:rFonts w:ascii="Arial" w:hAnsi="Arial" w:cs="Arial"/>
        </w:rPr>
        <w:t xml:space="preserve"> (pp. 1-12). Ruelas, E., Lifshitz, A. y M. Mercado. (coords.). Academia Nacional de Medicina de México y Consejo Nacional de Ciencia y Tecnología de México; Ciudad de México.</w:t>
      </w:r>
    </w:p>
  </w:footnote>
  <w:footnote w:id="45">
    <w:p w14:paraId="39DB4784" w14:textId="77777777" w:rsidR="00CF252E" w:rsidRDefault="00CF252E" w:rsidP="004361ED">
      <w:pPr>
        <w:pStyle w:val="Textonotapie"/>
      </w:pPr>
      <w:r w:rsidRPr="00FD3A0E">
        <w:rPr>
          <w:rStyle w:val="Refdenotaalpie"/>
          <w:rFonts w:ascii="Arial" w:hAnsi="Arial" w:cs="Arial"/>
        </w:rPr>
        <w:footnoteRef/>
      </w:r>
      <w:r w:rsidRPr="00FD3A0E">
        <w:rPr>
          <w:rFonts w:ascii="Arial" w:hAnsi="Arial" w:cs="Arial"/>
        </w:rPr>
        <w:t xml:space="preserve"> </w:t>
      </w:r>
      <w:r w:rsidRPr="00FD3A0E">
        <w:rPr>
          <w:rFonts w:ascii="Arial" w:hAnsi="Arial" w:cs="Arial"/>
          <w:i/>
        </w:rPr>
        <w:t>Ibídem</w:t>
      </w:r>
      <w:r w:rsidRPr="00FD3A0E">
        <w:rPr>
          <w:rFonts w:ascii="Arial" w:hAnsi="Arial" w:cs="Arial"/>
        </w:rPr>
        <w:t>, p. 1.</w:t>
      </w:r>
    </w:p>
  </w:footnote>
  <w:footnote w:id="46">
    <w:p w14:paraId="2C536035" w14:textId="77777777"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w:t>
      </w:r>
      <w:r w:rsidRPr="00333C17">
        <w:rPr>
          <w:rFonts w:ascii="Arial" w:hAnsi="Arial" w:cs="Arial"/>
          <w:i/>
        </w:rPr>
        <w:t>Ibídem</w:t>
      </w:r>
      <w:r w:rsidRPr="00333C17">
        <w:rPr>
          <w:rFonts w:ascii="Arial" w:hAnsi="Arial" w:cs="Arial"/>
        </w:rPr>
        <w:t>.</w:t>
      </w:r>
    </w:p>
  </w:footnote>
  <w:footnote w:id="47">
    <w:p w14:paraId="159E8F26" w14:textId="77777777" w:rsidR="00CF252E" w:rsidRPr="00FD3A0E" w:rsidRDefault="00CF252E" w:rsidP="004361ED">
      <w:pPr>
        <w:pStyle w:val="Textonotapie"/>
        <w:rPr>
          <w:rFonts w:ascii="Arial" w:hAnsi="Arial" w:cs="Arial"/>
        </w:rPr>
      </w:pPr>
      <w:r w:rsidRPr="00FD3A0E">
        <w:rPr>
          <w:rStyle w:val="Refdenotaalpie"/>
          <w:rFonts w:ascii="Arial" w:hAnsi="Arial" w:cs="Arial"/>
        </w:rPr>
        <w:footnoteRef/>
      </w:r>
      <w:r w:rsidRPr="00FD3A0E">
        <w:rPr>
          <w:rFonts w:ascii="Arial" w:hAnsi="Arial" w:cs="Arial"/>
        </w:rPr>
        <w:t xml:space="preserve"> SSA (s.f. a), </w:t>
      </w:r>
      <w:r w:rsidRPr="00FD3A0E">
        <w:rPr>
          <w:rFonts w:ascii="Arial" w:hAnsi="Arial" w:cs="Arial"/>
          <w:i/>
        </w:rPr>
        <w:t>op. cit.</w:t>
      </w:r>
      <w:r w:rsidRPr="00FD3A0E">
        <w:rPr>
          <w:rFonts w:ascii="Arial" w:hAnsi="Arial" w:cs="Arial"/>
        </w:rPr>
        <w:t>, s.p.</w:t>
      </w:r>
    </w:p>
  </w:footnote>
  <w:footnote w:id="48">
    <w:p w14:paraId="7EE659A0" w14:textId="013D0ABD" w:rsidR="00CF252E" w:rsidRPr="00FD3A0E" w:rsidRDefault="00CF252E" w:rsidP="004361ED">
      <w:pPr>
        <w:pStyle w:val="Textonotapie"/>
        <w:rPr>
          <w:rFonts w:ascii="Arial" w:hAnsi="Arial" w:cs="Arial"/>
        </w:rPr>
      </w:pPr>
      <w:r w:rsidRPr="00FD3A0E">
        <w:rPr>
          <w:rStyle w:val="Refdenotaalpie"/>
          <w:rFonts w:ascii="Arial" w:hAnsi="Arial" w:cs="Arial"/>
        </w:rPr>
        <w:footnoteRef/>
      </w:r>
      <w:r w:rsidRPr="00FD3A0E">
        <w:rPr>
          <w:rFonts w:ascii="Arial" w:hAnsi="Arial" w:cs="Arial"/>
        </w:rPr>
        <w:t xml:space="preserve"> Meara </w:t>
      </w:r>
      <w:r w:rsidRPr="00FD3A0E">
        <w:rPr>
          <w:rFonts w:ascii="Arial" w:hAnsi="Arial" w:cs="Arial"/>
          <w:i/>
        </w:rPr>
        <w:t>et al.</w:t>
      </w:r>
      <w:r w:rsidRPr="00FD3A0E">
        <w:rPr>
          <w:rFonts w:ascii="Arial" w:hAnsi="Arial" w:cs="Arial"/>
        </w:rPr>
        <w:t>,</w:t>
      </w:r>
      <w:r w:rsidRPr="00FD3A0E">
        <w:rPr>
          <w:rFonts w:ascii="Arial" w:hAnsi="Arial" w:cs="Arial"/>
          <w:i/>
        </w:rPr>
        <w:t xml:space="preserve"> op. cit.</w:t>
      </w:r>
      <w:r w:rsidRPr="00FD3A0E">
        <w:rPr>
          <w:rFonts w:ascii="Arial" w:hAnsi="Arial" w:cs="Arial"/>
        </w:rPr>
        <w:t>, p. 569.</w:t>
      </w:r>
    </w:p>
  </w:footnote>
  <w:footnote w:id="49">
    <w:p w14:paraId="66095180" w14:textId="77777777" w:rsidR="00CF252E" w:rsidRPr="00333C17" w:rsidRDefault="00CF252E" w:rsidP="00F12B1B">
      <w:pPr>
        <w:pStyle w:val="Textonotapie"/>
        <w:ind w:left="227" w:hanging="227"/>
        <w:rPr>
          <w:rFonts w:ascii="Arial" w:hAnsi="Arial" w:cs="Arial"/>
        </w:rPr>
      </w:pPr>
      <w:r w:rsidRPr="00FD3A0E">
        <w:rPr>
          <w:rStyle w:val="Refdenotaalpie"/>
          <w:rFonts w:ascii="Arial" w:hAnsi="Arial" w:cs="Arial"/>
        </w:rPr>
        <w:footnoteRef/>
      </w:r>
      <w:r w:rsidRPr="00FD3A0E">
        <w:rPr>
          <w:rFonts w:ascii="Arial" w:hAnsi="Arial" w:cs="Arial"/>
        </w:rPr>
        <w:t xml:space="preserve"> SSA (2017). </w:t>
      </w:r>
      <w:r w:rsidRPr="00FD3A0E">
        <w:rPr>
          <w:rFonts w:ascii="Arial" w:hAnsi="Arial" w:cs="Arial"/>
          <w:i/>
        </w:rPr>
        <w:t>Boletín de Información Estadística No. 36 Año 2016. Volumen III. Servicios otorgados y programas sustantivos.</w:t>
      </w:r>
      <w:r w:rsidRPr="00FD3A0E">
        <w:rPr>
          <w:rFonts w:ascii="Arial" w:hAnsi="Arial" w:cs="Arial"/>
        </w:rPr>
        <w:t xml:space="preserve"> Consultado el 01/03/2019 de http://www.dgis.salud.gob.mx/contenidos/publicaciones/p_bie_gobmx.html</w:t>
      </w:r>
    </w:p>
  </w:footnote>
  <w:footnote w:id="50">
    <w:p w14:paraId="0E887771" w14:textId="77777777"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w:t>
      </w:r>
      <w:r w:rsidRPr="00333C17">
        <w:rPr>
          <w:rFonts w:ascii="Arial" w:hAnsi="Arial" w:cs="Arial"/>
          <w:i/>
        </w:rPr>
        <w:t>Ibídem</w:t>
      </w:r>
      <w:r w:rsidRPr="00333C17">
        <w:rPr>
          <w:rFonts w:ascii="Arial" w:hAnsi="Arial" w:cs="Arial"/>
        </w:rPr>
        <w:t>.</w:t>
      </w:r>
    </w:p>
  </w:footnote>
  <w:footnote w:id="51">
    <w:p w14:paraId="245AD8A8" w14:textId="0FDA30A8"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Meara </w:t>
      </w:r>
      <w:r>
        <w:rPr>
          <w:rFonts w:ascii="Arial" w:hAnsi="Arial" w:cs="Arial"/>
          <w:i/>
        </w:rPr>
        <w:t>et</w:t>
      </w:r>
      <w:r w:rsidRPr="00333C17">
        <w:rPr>
          <w:rFonts w:ascii="Arial" w:hAnsi="Arial" w:cs="Arial"/>
          <w:i/>
        </w:rPr>
        <w:t xml:space="preserve"> al.</w:t>
      </w:r>
      <w:r w:rsidRPr="00333C17">
        <w:rPr>
          <w:rFonts w:ascii="Arial" w:hAnsi="Arial" w:cs="Arial"/>
        </w:rPr>
        <w:t>,</w:t>
      </w:r>
      <w:r w:rsidRPr="00333C17">
        <w:rPr>
          <w:rFonts w:ascii="Arial" w:hAnsi="Arial" w:cs="Arial"/>
          <w:i/>
        </w:rPr>
        <w:t xml:space="preserve"> op. cit.</w:t>
      </w:r>
      <w:r w:rsidRPr="00333C17">
        <w:rPr>
          <w:rFonts w:ascii="Arial" w:hAnsi="Arial" w:cs="Arial"/>
        </w:rPr>
        <w:t>, p. 572.</w:t>
      </w:r>
    </w:p>
  </w:footnote>
  <w:footnote w:id="52">
    <w:p w14:paraId="4C367E1F" w14:textId="77777777" w:rsidR="00CF252E" w:rsidRPr="00333C17" w:rsidRDefault="00CF252E" w:rsidP="004361ED">
      <w:pPr>
        <w:pStyle w:val="Textonotapie"/>
        <w:jc w:val="both"/>
        <w:rPr>
          <w:rFonts w:ascii="Arial" w:hAnsi="Arial" w:cs="Arial"/>
        </w:rPr>
      </w:pPr>
      <w:r w:rsidRPr="00333C17">
        <w:rPr>
          <w:rStyle w:val="Refdenotaalpie"/>
          <w:rFonts w:ascii="Arial" w:hAnsi="Arial" w:cs="Arial"/>
        </w:rPr>
        <w:footnoteRef/>
      </w:r>
      <w:r w:rsidRPr="00333C17">
        <w:rPr>
          <w:rFonts w:ascii="Arial" w:hAnsi="Arial" w:cs="Arial"/>
        </w:rPr>
        <w:t xml:space="preserve"> </w:t>
      </w:r>
      <w:r w:rsidRPr="00333C17">
        <w:rPr>
          <w:rFonts w:ascii="Arial" w:hAnsi="Arial" w:cs="Arial"/>
          <w:i/>
        </w:rPr>
        <w:t>Ibídem</w:t>
      </w:r>
      <w:r w:rsidRPr="00333C17">
        <w:rPr>
          <w:rFonts w:ascii="Arial" w:hAnsi="Arial" w:cs="Arial"/>
        </w:rPr>
        <w:t>.</w:t>
      </w:r>
    </w:p>
  </w:footnote>
  <w:footnote w:id="53">
    <w:p w14:paraId="619143FA" w14:textId="77777777"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w:t>
      </w:r>
      <w:r w:rsidRPr="00333C17">
        <w:rPr>
          <w:rFonts w:ascii="Arial" w:hAnsi="Arial" w:cs="Arial"/>
          <w:i/>
        </w:rPr>
        <w:t>Ibídem</w:t>
      </w:r>
      <w:r w:rsidRPr="00333C17">
        <w:rPr>
          <w:rFonts w:ascii="Arial" w:hAnsi="Arial" w:cs="Arial"/>
        </w:rPr>
        <w:t>.</w:t>
      </w:r>
    </w:p>
  </w:footnote>
  <w:footnote w:id="54">
    <w:p w14:paraId="1CE9AA0F" w14:textId="77777777"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SSA (2019), </w:t>
      </w:r>
      <w:r w:rsidRPr="00333C17">
        <w:rPr>
          <w:rFonts w:ascii="Arial" w:hAnsi="Arial" w:cs="Arial"/>
          <w:i/>
        </w:rPr>
        <w:t>op. cit.</w:t>
      </w:r>
      <w:r w:rsidRPr="00333C17">
        <w:rPr>
          <w:rFonts w:ascii="Arial" w:hAnsi="Arial" w:cs="Arial"/>
        </w:rPr>
        <w:t>, s.p.</w:t>
      </w:r>
    </w:p>
  </w:footnote>
  <w:footnote w:id="55">
    <w:p w14:paraId="4B2DCBED" w14:textId="77777777" w:rsidR="00CF252E" w:rsidRPr="003435C1"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w:t>
      </w:r>
      <w:r w:rsidRPr="003435C1">
        <w:rPr>
          <w:rFonts w:ascii="Arial" w:hAnsi="Arial" w:cs="Arial"/>
          <w:i/>
        </w:rPr>
        <w:t>Ibídem</w:t>
      </w:r>
      <w:r w:rsidRPr="003435C1">
        <w:rPr>
          <w:rFonts w:ascii="Arial" w:hAnsi="Arial" w:cs="Arial"/>
        </w:rPr>
        <w:t>.</w:t>
      </w:r>
    </w:p>
  </w:footnote>
  <w:footnote w:id="56">
    <w:p w14:paraId="36F53211" w14:textId="77777777" w:rsidR="00CF252E" w:rsidRPr="003435C1" w:rsidRDefault="00CF252E" w:rsidP="00F12B1B">
      <w:pPr>
        <w:pStyle w:val="Textonotapie"/>
        <w:ind w:left="227" w:hanging="227"/>
        <w:rPr>
          <w:rFonts w:ascii="Arial" w:hAnsi="Arial" w:cs="Arial"/>
        </w:rPr>
      </w:pPr>
      <w:r w:rsidRPr="003435C1">
        <w:rPr>
          <w:rStyle w:val="Refdenotaalpie"/>
          <w:rFonts w:ascii="Arial" w:hAnsi="Arial" w:cs="Arial"/>
        </w:rPr>
        <w:footnoteRef/>
      </w:r>
      <w:r w:rsidRPr="003435C1">
        <w:rPr>
          <w:rFonts w:ascii="Arial" w:hAnsi="Arial" w:cs="Arial"/>
        </w:rPr>
        <w:t xml:space="preserve"> Fajardo, G., Santacruz, J., Hernández, F. (2015). Conclusiones y lecciones aprendidas de la experiencia nacional. En </w:t>
      </w:r>
      <w:r w:rsidRPr="003435C1">
        <w:rPr>
          <w:rFonts w:ascii="Arial" w:hAnsi="Arial" w:cs="Arial"/>
          <w:i/>
        </w:rPr>
        <w:t>La formación de médicos especialistas en México. Documento de postura</w:t>
      </w:r>
      <w:r w:rsidRPr="003435C1">
        <w:rPr>
          <w:rFonts w:ascii="Arial" w:hAnsi="Arial" w:cs="Arial"/>
        </w:rPr>
        <w:t xml:space="preserve"> (pp. 43-56). Fajardo, G., Santacruz, J. y C. Lavalle (coords.); Academia Nacional de Medicina de México y Consejo Nacional de Ciencia y Tecnología de México; Ciudad de México.</w:t>
      </w:r>
    </w:p>
  </w:footnote>
  <w:footnote w:id="57">
    <w:p w14:paraId="778E9063" w14:textId="77777777" w:rsidR="00CF252E" w:rsidRPr="003435C1" w:rsidRDefault="00CF252E" w:rsidP="004361ED">
      <w:pPr>
        <w:pStyle w:val="Textonotapie"/>
        <w:rPr>
          <w:rFonts w:ascii="Arial" w:hAnsi="Arial" w:cs="Arial"/>
          <w:lang w:val="en-US"/>
        </w:rPr>
      </w:pPr>
      <w:r w:rsidRPr="003435C1">
        <w:rPr>
          <w:rStyle w:val="Refdenotaalpie"/>
          <w:rFonts w:ascii="Arial" w:hAnsi="Arial" w:cs="Arial"/>
        </w:rPr>
        <w:footnoteRef/>
      </w:r>
      <w:r w:rsidRPr="003435C1">
        <w:rPr>
          <w:rFonts w:ascii="Arial" w:hAnsi="Arial" w:cs="Arial"/>
          <w:lang w:val="en-US"/>
        </w:rPr>
        <w:t xml:space="preserve"> SSA (s.f. a), </w:t>
      </w:r>
      <w:r w:rsidRPr="003435C1">
        <w:rPr>
          <w:rFonts w:ascii="Arial" w:hAnsi="Arial" w:cs="Arial"/>
          <w:i/>
          <w:lang w:val="en-US"/>
        </w:rPr>
        <w:t>op. cit.</w:t>
      </w:r>
      <w:r w:rsidRPr="003435C1">
        <w:rPr>
          <w:rFonts w:ascii="Arial" w:hAnsi="Arial" w:cs="Arial"/>
          <w:lang w:val="en-US"/>
        </w:rPr>
        <w:t>, s.p.</w:t>
      </w:r>
    </w:p>
  </w:footnote>
  <w:footnote w:id="58">
    <w:p w14:paraId="33461A7B" w14:textId="77777777" w:rsidR="00CF252E" w:rsidRPr="003E547C" w:rsidRDefault="00CF252E" w:rsidP="004361ED">
      <w:pPr>
        <w:pStyle w:val="Textonotapie"/>
        <w:rPr>
          <w:rFonts w:ascii="Arial" w:hAnsi="Arial" w:cs="Arial"/>
          <w:lang w:val="en-US"/>
        </w:rPr>
      </w:pPr>
      <w:r w:rsidRPr="003435C1">
        <w:rPr>
          <w:rStyle w:val="Refdenotaalpie"/>
        </w:rPr>
        <w:footnoteRef/>
      </w:r>
      <w:r w:rsidRPr="003435C1">
        <w:rPr>
          <w:lang w:val="en-US"/>
        </w:rPr>
        <w:t xml:space="preserve"> </w:t>
      </w:r>
      <w:r w:rsidRPr="003435C1">
        <w:rPr>
          <w:rFonts w:ascii="Arial" w:hAnsi="Arial" w:cs="Arial"/>
          <w:lang w:val="en-US"/>
        </w:rPr>
        <w:t xml:space="preserve">SSA (2019), </w:t>
      </w:r>
      <w:r w:rsidRPr="003435C1">
        <w:rPr>
          <w:rFonts w:ascii="Arial" w:hAnsi="Arial" w:cs="Arial"/>
          <w:i/>
          <w:lang w:val="en-US"/>
        </w:rPr>
        <w:t>op. cit.</w:t>
      </w:r>
      <w:r w:rsidRPr="003435C1">
        <w:rPr>
          <w:rFonts w:ascii="Arial" w:hAnsi="Arial" w:cs="Arial"/>
          <w:lang w:val="en-US"/>
        </w:rPr>
        <w:t>, s.p.</w:t>
      </w:r>
    </w:p>
  </w:footnote>
  <w:footnote w:id="59">
    <w:p w14:paraId="121DD773" w14:textId="3A29B26E"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Plancarte </w:t>
      </w:r>
      <w:r>
        <w:rPr>
          <w:rFonts w:ascii="Arial" w:hAnsi="Arial" w:cs="Arial"/>
          <w:i/>
        </w:rPr>
        <w:t>et</w:t>
      </w:r>
      <w:r w:rsidRPr="00333C17">
        <w:rPr>
          <w:rFonts w:ascii="Arial" w:hAnsi="Arial" w:cs="Arial"/>
          <w:i/>
        </w:rPr>
        <w:t xml:space="preserve"> al.</w:t>
      </w:r>
      <w:r w:rsidRPr="00333C17">
        <w:rPr>
          <w:rFonts w:ascii="Arial" w:hAnsi="Arial" w:cs="Arial"/>
        </w:rPr>
        <w:t xml:space="preserve"> (2015), </w:t>
      </w:r>
      <w:r w:rsidRPr="00333C17">
        <w:rPr>
          <w:rFonts w:ascii="Arial" w:hAnsi="Arial" w:cs="Arial"/>
          <w:i/>
        </w:rPr>
        <w:t>op. cit.</w:t>
      </w:r>
      <w:r w:rsidRPr="00333C17">
        <w:rPr>
          <w:rFonts w:ascii="Arial" w:hAnsi="Arial" w:cs="Arial"/>
        </w:rPr>
        <w:t>, p. 1</w:t>
      </w:r>
    </w:p>
  </w:footnote>
  <w:footnote w:id="60">
    <w:p w14:paraId="1DDEFF28" w14:textId="3E6CF91A"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Meara </w:t>
      </w:r>
      <w:r>
        <w:rPr>
          <w:rFonts w:ascii="Arial" w:hAnsi="Arial" w:cs="Arial"/>
          <w:i/>
        </w:rPr>
        <w:t>et</w:t>
      </w:r>
      <w:r w:rsidRPr="00333C17">
        <w:rPr>
          <w:rFonts w:ascii="Arial" w:hAnsi="Arial" w:cs="Arial"/>
          <w:i/>
        </w:rPr>
        <w:t xml:space="preserve"> al.</w:t>
      </w:r>
      <w:r w:rsidRPr="00333C17">
        <w:rPr>
          <w:rFonts w:ascii="Arial" w:hAnsi="Arial" w:cs="Arial"/>
        </w:rPr>
        <w:t>,</w:t>
      </w:r>
      <w:r w:rsidRPr="00333C17">
        <w:rPr>
          <w:rFonts w:ascii="Arial" w:hAnsi="Arial" w:cs="Arial"/>
          <w:i/>
        </w:rPr>
        <w:t xml:space="preserve"> op. cit.</w:t>
      </w:r>
      <w:r w:rsidRPr="00333C17">
        <w:rPr>
          <w:rFonts w:ascii="Arial" w:hAnsi="Arial" w:cs="Arial"/>
        </w:rPr>
        <w:t>, p. 570.</w:t>
      </w:r>
    </w:p>
  </w:footnote>
  <w:footnote w:id="61">
    <w:p w14:paraId="0EEF6874" w14:textId="293829B4" w:rsidR="00CF252E" w:rsidRPr="00333C17" w:rsidRDefault="00CF252E" w:rsidP="004361ED">
      <w:pPr>
        <w:pStyle w:val="Textonotapie"/>
        <w:rPr>
          <w:rFonts w:ascii="Arial" w:hAnsi="Arial" w:cs="Arial"/>
        </w:rPr>
      </w:pPr>
      <w:r w:rsidRPr="00333C17">
        <w:rPr>
          <w:rStyle w:val="Refdenotaalpie"/>
          <w:rFonts w:ascii="Arial" w:hAnsi="Arial" w:cs="Arial"/>
        </w:rPr>
        <w:footnoteRef/>
      </w:r>
      <w:r w:rsidRPr="00333C17">
        <w:rPr>
          <w:rFonts w:ascii="Arial" w:hAnsi="Arial" w:cs="Arial"/>
        </w:rPr>
        <w:t xml:space="preserve"> Plancarte </w:t>
      </w:r>
      <w:r>
        <w:rPr>
          <w:rFonts w:ascii="Arial" w:hAnsi="Arial" w:cs="Arial"/>
          <w:i/>
        </w:rPr>
        <w:t>et</w:t>
      </w:r>
      <w:r w:rsidRPr="00333C17">
        <w:rPr>
          <w:rFonts w:ascii="Arial" w:hAnsi="Arial" w:cs="Arial"/>
          <w:i/>
        </w:rPr>
        <w:t xml:space="preserve"> al.</w:t>
      </w:r>
      <w:r w:rsidRPr="00333C17">
        <w:rPr>
          <w:rFonts w:ascii="Arial" w:hAnsi="Arial" w:cs="Arial"/>
        </w:rPr>
        <w:t xml:space="preserve"> (2015), </w:t>
      </w:r>
      <w:r w:rsidRPr="00333C17">
        <w:rPr>
          <w:rFonts w:ascii="Arial" w:hAnsi="Arial" w:cs="Arial"/>
          <w:i/>
        </w:rPr>
        <w:t>op. cit.</w:t>
      </w:r>
      <w:r w:rsidRPr="00333C17">
        <w:rPr>
          <w:rFonts w:ascii="Arial" w:hAnsi="Arial" w:cs="Arial"/>
        </w:rPr>
        <w:t>, p. 8.</w:t>
      </w:r>
    </w:p>
  </w:footnote>
  <w:footnote w:id="62">
    <w:p w14:paraId="1186EDD7" w14:textId="77777777" w:rsidR="00CF252E" w:rsidRPr="003435C1" w:rsidRDefault="00CF252E" w:rsidP="00DB4EE3">
      <w:pPr>
        <w:pStyle w:val="Textonotapie"/>
        <w:ind w:left="142" w:hanging="142"/>
      </w:pPr>
      <w:r w:rsidRPr="003435C1">
        <w:rPr>
          <w:rStyle w:val="Refdenotaalpie"/>
        </w:rPr>
        <w:footnoteRef/>
      </w:r>
      <w:r w:rsidRPr="003435C1">
        <w:t xml:space="preserve"> </w:t>
      </w:r>
      <w:r w:rsidRPr="003435C1">
        <w:rPr>
          <w:rFonts w:ascii="Arial" w:hAnsi="Arial" w:cs="Arial"/>
          <w:spacing w:val="-4"/>
        </w:rPr>
        <w:t>Reformado mediante decreto publicado en el Diario Oficial de la Federación el 29 de enero de 2016.</w:t>
      </w:r>
    </w:p>
  </w:footnote>
  <w:footnote w:id="63">
    <w:p w14:paraId="005F1C13" w14:textId="633E5C56" w:rsidR="00CF252E" w:rsidRPr="003435C1" w:rsidRDefault="00CF252E" w:rsidP="00DB4EE3">
      <w:pPr>
        <w:pStyle w:val="Textonotapie"/>
        <w:ind w:left="142" w:hanging="142"/>
      </w:pPr>
      <w:r w:rsidRPr="003435C1">
        <w:rPr>
          <w:rStyle w:val="Refdenotaalpie"/>
        </w:rPr>
        <w:footnoteRef/>
      </w:r>
      <w:r w:rsidRPr="003435C1">
        <w:t xml:space="preserve"> </w:t>
      </w:r>
      <w:r w:rsidRPr="003435C1">
        <w:rPr>
          <w:rFonts w:ascii="Arial" w:hAnsi="Arial" w:cs="Arial"/>
          <w:spacing w:val="-4"/>
        </w:rPr>
        <w:t>Reformado mediante decreto publicado en el Diario Oficial de la Federación el 10 de junio del 2011</w:t>
      </w:r>
      <w:r w:rsidRPr="003435C1">
        <w:rPr>
          <w:rFonts w:ascii="Arial" w:hAnsi="Arial" w:cs="Arial"/>
        </w:rPr>
        <w:t>.</w:t>
      </w:r>
    </w:p>
  </w:footnote>
  <w:footnote w:id="64">
    <w:p w14:paraId="4A9027BB" w14:textId="77777777" w:rsidR="00CF252E" w:rsidRPr="003435C1" w:rsidRDefault="00CF252E" w:rsidP="00127A25">
      <w:pPr>
        <w:pStyle w:val="Textonotapie"/>
        <w:rPr>
          <w:rFonts w:ascii="Arial" w:hAnsi="Arial" w:cs="Arial"/>
          <w:sz w:val="18"/>
          <w:szCs w:val="18"/>
        </w:rPr>
      </w:pPr>
      <w:r w:rsidRPr="003435C1">
        <w:rPr>
          <w:rStyle w:val="Refdenotaalpie"/>
          <w:rFonts w:ascii="Arial" w:hAnsi="Arial" w:cs="Arial"/>
          <w:sz w:val="18"/>
          <w:szCs w:val="18"/>
        </w:rPr>
        <w:footnoteRef/>
      </w:r>
      <w:r w:rsidRPr="003435C1">
        <w:rPr>
          <w:rFonts w:ascii="Arial" w:hAnsi="Arial" w:cs="Arial"/>
          <w:sz w:val="18"/>
          <w:szCs w:val="18"/>
        </w:rPr>
        <w:t xml:space="preserve"> Reformado mediante decreto publicado por el Diario Oficial de la Federación el 5 de marzo de 1993.</w:t>
      </w:r>
    </w:p>
  </w:footnote>
  <w:footnote w:id="65">
    <w:p w14:paraId="1751151E" w14:textId="77777777" w:rsidR="00CF252E" w:rsidRPr="00C97B5F" w:rsidRDefault="00CF252E" w:rsidP="00127A25">
      <w:pPr>
        <w:pStyle w:val="Textonotapie"/>
        <w:rPr>
          <w:rFonts w:ascii="Arial" w:hAnsi="Arial" w:cs="Arial"/>
          <w:sz w:val="18"/>
          <w:szCs w:val="18"/>
        </w:rPr>
      </w:pPr>
      <w:r w:rsidRPr="003435C1">
        <w:rPr>
          <w:rStyle w:val="Refdenotaalpie"/>
          <w:rFonts w:ascii="Arial" w:hAnsi="Arial" w:cs="Arial"/>
          <w:sz w:val="18"/>
          <w:szCs w:val="18"/>
        </w:rPr>
        <w:footnoteRef/>
      </w:r>
      <w:r w:rsidRPr="003435C1">
        <w:rPr>
          <w:rFonts w:ascii="Arial" w:hAnsi="Arial" w:cs="Arial"/>
          <w:sz w:val="18"/>
          <w:szCs w:val="18"/>
        </w:rPr>
        <w:t xml:space="preserve"> ídem.</w:t>
      </w:r>
      <w:r w:rsidRPr="00C97B5F">
        <w:rPr>
          <w:rFonts w:ascii="Arial" w:hAnsi="Arial" w:cs="Arial"/>
          <w:sz w:val="18"/>
          <w:szCs w:val="18"/>
        </w:rPr>
        <w:t xml:space="preserve"> </w:t>
      </w:r>
    </w:p>
  </w:footnote>
  <w:footnote w:id="66">
    <w:p w14:paraId="1CA3CDC2" w14:textId="77777777" w:rsidR="00CF252E" w:rsidRPr="003435C1" w:rsidRDefault="00CF252E" w:rsidP="00127A25">
      <w:pPr>
        <w:pStyle w:val="Textonotapie"/>
        <w:rPr>
          <w:rFonts w:ascii="Arial" w:hAnsi="Arial" w:cs="Arial"/>
          <w:sz w:val="18"/>
        </w:rPr>
      </w:pPr>
      <w:r w:rsidRPr="003435C1">
        <w:rPr>
          <w:rStyle w:val="Refdenotaalpie"/>
          <w:rFonts w:ascii="Arial" w:hAnsi="Arial" w:cs="Arial"/>
          <w:sz w:val="18"/>
        </w:rPr>
        <w:footnoteRef/>
      </w:r>
      <w:r w:rsidRPr="003435C1">
        <w:rPr>
          <w:rFonts w:ascii="Arial" w:hAnsi="Arial" w:cs="Arial"/>
          <w:sz w:val="18"/>
        </w:rPr>
        <w:t xml:space="preserve"> Reformado mediante decreto publicado por el Diario Oficial de la Federación el 9 de febrero del 2012.</w:t>
      </w:r>
    </w:p>
  </w:footnote>
  <w:footnote w:id="67">
    <w:p w14:paraId="5319453F" w14:textId="77777777" w:rsidR="00CF252E" w:rsidRPr="003435C1" w:rsidRDefault="00CF252E" w:rsidP="00127A25">
      <w:pPr>
        <w:pStyle w:val="Textonotapie"/>
        <w:rPr>
          <w:rFonts w:ascii="Arial" w:hAnsi="Arial" w:cs="Arial"/>
          <w:sz w:val="18"/>
        </w:rPr>
      </w:pPr>
      <w:r w:rsidRPr="003435C1">
        <w:rPr>
          <w:rStyle w:val="Refdenotaalpie"/>
          <w:rFonts w:ascii="Arial" w:hAnsi="Arial" w:cs="Arial"/>
          <w:sz w:val="18"/>
        </w:rPr>
        <w:footnoteRef/>
      </w:r>
      <w:r w:rsidRPr="003435C1">
        <w:rPr>
          <w:rFonts w:ascii="Arial" w:hAnsi="Arial" w:cs="Arial"/>
          <w:sz w:val="18"/>
        </w:rPr>
        <w:t xml:space="preserve"> Reformado mediante decreto publicado por el Diario Oficial de la Federación el 12 de noviembre del 2002.</w:t>
      </w:r>
    </w:p>
  </w:footnote>
  <w:footnote w:id="68">
    <w:p w14:paraId="0B825D74" w14:textId="77777777" w:rsidR="00CF252E" w:rsidRPr="003435C1" w:rsidRDefault="00CF252E" w:rsidP="00127A25">
      <w:pPr>
        <w:pStyle w:val="Textonotapie"/>
        <w:rPr>
          <w:rFonts w:ascii="Arial" w:hAnsi="Arial" w:cs="Arial"/>
          <w:sz w:val="18"/>
        </w:rPr>
      </w:pPr>
      <w:r w:rsidRPr="003435C1">
        <w:rPr>
          <w:rStyle w:val="Refdenotaalpie"/>
          <w:rFonts w:ascii="Arial" w:hAnsi="Arial" w:cs="Arial"/>
          <w:sz w:val="18"/>
        </w:rPr>
        <w:footnoteRef/>
      </w:r>
      <w:r w:rsidRPr="003435C1">
        <w:rPr>
          <w:rFonts w:ascii="Arial" w:hAnsi="Arial" w:cs="Arial"/>
          <w:sz w:val="18"/>
        </w:rPr>
        <w:t xml:space="preserve"> Reformado mediante decreto publicado por el Diario Oficial de la Federación el 5 de marzo de 1993.</w:t>
      </w:r>
    </w:p>
  </w:footnote>
  <w:footnote w:id="69">
    <w:p w14:paraId="7CA8E72E" w14:textId="77777777" w:rsidR="00CF252E" w:rsidRPr="00DB4EE3" w:rsidRDefault="00CF252E" w:rsidP="00DB4EE3">
      <w:pPr>
        <w:pStyle w:val="Textonotapie"/>
        <w:ind w:left="142" w:hanging="142"/>
        <w:rPr>
          <w:rFonts w:ascii="Arial" w:hAnsi="Arial" w:cs="Arial"/>
        </w:rPr>
      </w:pPr>
      <w:r w:rsidRPr="003435C1">
        <w:rPr>
          <w:rStyle w:val="Refdenotaalpie"/>
          <w:rFonts w:ascii="Arial" w:hAnsi="Arial" w:cs="Arial"/>
        </w:rPr>
        <w:footnoteRef/>
      </w:r>
      <w:r w:rsidRPr="003435C1">
        <w:rPr>
          <w:rFonts w:ascii="Arial" w:hAnsi="Arial" w:cs="Arial"/>
        </w:rPr>
        <w:t xml:space="preserve"> </w:t>
      </w:r>
      <w:r w:rsidRPr="003435C1">
        <w:rPr>
          <w:rFonts w:ascii="Arial" w:hAnsi="Arial" w:cs="Arial"/>
          <w:spacing w:val="-6"/>
        </w:rPr>
        <w:t>Reformado mediante decreto publicado por el Diario Oficial de la Federación el 26 de febrero de 2013.</w:t>
      </w:r>
    </w:p>
  </w:footnote>
  <w:footnote w:id="70">
    <w:p w14:paraId="76B9D468" w14:textId="77777777" w:rsidR="00CF252E" w:rsidRPr="003435C1" w:rsidRDefault="00CF252E" w:rsidP="00CE6011">
      <w:pPr>
        <w:pStyle w:val="Textonotapie"/>
        <w:rPr>
          <w:rFonts w:ascii="Arial" w:hAnsi="Arial" w:cs="Arial"/>
        </w:rPr>
      </w:pPr>
      <w:r w:rsidRPr="003435C1">
        <w:rPr>
          <w:rStyle w:val="Refdenotaalpie"/>
          <w:rFonts w:ascii="Arial" w:hAnsi="Arial" w:cs="Arial"/>
        </w:rPr>
        <w:footnoteRef/>
      </w:r>
      <w:r w:rsidRPr="003435C1">
        <w:rPr>
          <w:rFonts w:ascii="Arial" w:hAnsi="Arial" w:cs="Arial"/>
        </w:rPr>
        <w:t xml:space="preserve"> </w:t>
      </w:r>
      <w:r w:rsidRPr="003435C1">
        <w:rPr>
          <w:rFonts w:ascii="Arial" w:hAnsi="Arial" w:cs="Arial"/>
          <w:i/>
        </w:rPr>
        <w:t>Ídem</w:t>
      </w:r>
      <w:r w:rsidRPr="003435C1">
        <w:rPr>
          <w:rFonts w:ascii="Arial" w:hAnsi="Arial" w:cs="Arial"/>
        </w:rPr>
        <w:t>.</w:t>
      </w:r>
    </w:p>
  </w:footnote>
  <w:footnote w:id="71">
    <w:p w14:paraId="52168DFF" w14:textId="77777777" w:rsidR="00CF252E" w:rsidRPr="003435C1" w:rsidRDefault="00CF252E" w:rsidP="00DB4EE3">
      <w:pPr>
        <w:pStyle w:val="Textonotapie"/>
        <w:ind w:left="142" w:hanging="142"/>
        <w:rPr>
          <w:rFonts w:ascii="Arial" w:hAnsi="Arial" w:cs="Arial"/>
        </w:rPr>
      </w:pPr>
      <w:r w:rsidRPr="003435C1">
        <w:rPr>
          <w:rStyle w:val="Refdenotaalpie"/>
          <w:rFonts w:ascii="Arial" w:hAnsi="Arial" w:cs="Arial"/>
        </w:rPr>
        <w:footnoteRef/>
      </w:r>
      <w:r w:rsidRPr="003435C1">
        <w:rPr>
          <w:rFonts w:ascii="Arial" w:hAnsi="Arial" w:cs="Arial"/>
        </w:rPr>
        <w:t xml:space="preserve"> </w:t>
      </w:r>
      <w:r w:rsidRPr="003435C1">
        <w:rPr>
          <w:rFonts w:ascii="Arial" w:hAnsi="Arial" w:cs="Arial"/>
          <w:spacing w:val="-4"/>
        </w:rPr>
        <w:t>Párrafo adicionado decreto publicado por el Diario Oficial de la Federación el 13 de octubre de 2011.</w:t>
      </w:r>
    </w:p>
  </w:footnote>
  <w:footnote w:id="72">
    <w:p w14:paraId="46523EFC" w14:textId="77777777" w:rsidR="00CF252E" w:rsidRPr="003435C1" w:rsidRDefault="00CF252E" w:rsidP="00DB4EE3">
      <w:pPr>
        <w:pStyle w:val="Textonotapie"/>
        <w:ind w:left="142" w:hanging="142"/>
        <w:rPr>
          <w:rFonts w:ascii="Arial" w:hAnsi="Arial" w:cs="Arial"/>
        </w:rPr>
      </w:pPr>
      <w:r w:rsidRPr="003435C1">
        <w:rPr>
          <w:rStyle w:val="Refdenotaalpie"/>
          <w:rFonts w:ascii="Arial" w:hAnsi="Arial" w:cs="Arial"/>
        </w:rPr>
        <w:footnoteRef/>
      </w:r>
      <w:r w:rsidRPr="003435C1">
        <w:rPr>
          <w:rFonts w:ascii="Arial" w:hAnsi="Arial" w:cs="Arial"/>
        </w:rPr>
        <w:t xml:space="preserve"> </w:t>
      </w:r>
      <w:r w:rsidRPr="003435C1">
        <w:rPr>
          <w:rFonts w:ascii="Arial" w:hAnsi="Arial" w:cs="Arial"/>
          <w:spacing w:val="-4"/>
        </w:rPr>
        <w:t>Párrafo adicionado decreto publicado por el Diario Oficial de la Federación el 03 de febrero de 1983.</w:t>
      </w:r>
    </w:p>
  </w:footnote>
  <w:footnote w:id="73">
    <w:p w14:paraId="5C473119" w14:textId="77777777" w:rsidR="00CF252E" w:rsidRPr="00DB4EE3" w:rsidRDefault="00CF252E" w:rsidP="00CE6011">
      <w:pPr>
        <w:spacing w:after="0" w:line="240" w:lineRule="auto"/>
        <w:ind w:left="170" w:hanging="170"/>
        <w:rPr>
          <w:rFonts w:ascii="Arial" w:hAnsi="Arial" w:cs="Arial"/>
          <w:sz w:val="20"/>
          <w:szCs w:val="20"/>
        </w:rPr>
      </w:pPr>
      <w:r w:rsidRPr="003435C1">
        <w:rPr>
          <w:rStyle w:val="Refdenotaalpie"/>
          <w:rFonts w:ascii="Arial" w:hAnsi="Arial" w:cs="Arial"/>
          <w:sz w:val="20"/>
          <w:szCs w:val="20"/>
        </w:rPr>
        <w:footnoteRef/>
      </w:r>
      <w:r w:rsidRPr="003435C1">
        <w:rPr>
          <w:rFonts w:ascii="Arial" w:hAnsi="Arial" w:cs="Arial"/>
          <w:sz w:val="20"/>
          <w:szCs w:val="20"/>
        </w:rPr>
        <w:t xml:space="preserve"> </w:t>
      </w:r>
      <w:r w:rsidRPr="003435C1">
        <w:rPr>
          <w:rFonts w:ascii="Arial" w:hAnsi="Arial" w:cs="Arial"/>
          <w:spacing w:val="-4"/>
          <w:sz w:val="20"/>
          <w:szCs w:val="20"/>
        </w:rPr>
        <w:t>Fracción reformada decreto publicado por el Diario Oficial de la Federación el 28 de enero de 2011.</w:t>
      </w:r>
    </w:p>
  </w:footnote>
  <w:footnote w:id="74">
    <w:p w14:paraId="323366F9" w14:textId="77777777" w:rsidR="00CF252E" w:rsidRPr="00DB4EE3" w:rsidRDefault="00CF252E" w:rsidP="00CE6011">
      <w:pPr>
        <w:pStyle w:val="Textonotapie"/>
        <w:rPr>
          <w:rFonts w:ascii="Arial" w:hAnsi="Arial" w:cs="Arial"/>
        </w:rPr>
      </w:pPr>
      <w:r w:rsidRPr="003435C1">
        <w:rPr>
          <w:rStyle w:val="Refdenotaalpie"/>
          <w:rFonts w:ascii="Arial" w:hAnsi="Arial" w:cs="Arial"/>
        </w:rPr>
        <w:footnoteRef/>
      </w:r>
      <w:r w:rsidRPr="003435C1">
        <w:rPr>
          <w:rFonts w:ascii="Arial" w:hAnsi="Arial" w:cs="Arial"/>
        </w:rPr>
        <w:t xml:space="preserve"> Texto Vigente: Última reforma publicada DOF 19 de enero de 2018.</w:t>
      </w:r>
    </w:p>
  </w:footnote>
  <w:footnote w:id="75">
    <w:p w14:paraId="79021E98" w14:textId="77777777" w:rsidR="00CF252E" w:rsidRPr="00CA0725" w:rsidRDefault="00CF252E" w:rsidP="00F12B1B">
      <w:pPr>
        <w:spacing w:after="0" w:line="240" w:lineRule="auto"/>
        <w:ind w:left="227" w:hanging="227"/>
        <w:rPr>
          <w:rFonts w:ascii="Arial" w:hAnsi="Arial" w:cs="Arial"/>
          <w:sz w:val="18"/>
          <w:szCs w:val="18"/>
        </w:rPr>
      </w:pPr>
      <w:r w:rsidRPr="003435C1">
        <w:rPr>
          <w:rStyle w:val="Refdenotaalpie"/>
          <w:rFonts w:ascii="Arial" w:hAnsi="Arial" w:cs="Arial"/>
          <w:sz w:val="20"/>
          <w:szCs w:val="20"/>
        </w:rPr>
        <w:footnoteRef/>
      </w:r>
      <w:r w:rsidRPr="003435C1">
        <w:rPr>
          <w:rFonts w:ascii="Arial" w:hAnsi="Arial" w:cs="Arial"/>
          <w:sz w:val="20"/>
          <w:szCs w:val="20"/>
        </w:rPr>
        <w:t xml:space="preserve"> Ley General de Salud, Publicado en el D.O.F. el 7 de febrero de 1984, texto vigente última reforma publicada DOF 12-07-2018.</w:t>
      </w:r>
    </w:p>
    <w:p w14:paraId="615C99A3" w14:textId="77777777" w:rsidR="00CF252E" w:rsidRPr="00D037C1" w:rsidRDefault="00CF252E" w:rsidP="00CE6011">
      <w:pPr>
        <w:pStyle w:val="Textonotapie"/>
        <w:rPr>
          <w:sz w:val="4"/>
          <w:szCs w:val="4"/>
        </w:rPr>
      </w:pPr>
    </w:p>
  </w:footnote>
  <w:footnote w:id="76">
    <w:p w14:paraId="387EFC20" w14:textId="77777777" w:rsidR="00CF252E" w:rsidRPr="003435C1" w:rsidRDefault="00CF252E" w:rsidP="00461369">
      <w:pPr>
        <w:spacing w:after="0" w:line="240" w:lineRule="auto"/>
        <w:rPr>
          <w:rFonts w:ascii="Arial" w:hAnsi="Arial" w:cs="Arial"/>
          <w:sz w:val="20"/>
          <w:szCs w:val="20"/>
        </w:rPr>
      </w:pPr>
      <w:r w:rsidRPr="003435C1">
        <w:rPr>
          <w:rStyle w:val="Refdenotaalpie"/>
          <w:rFonts w:ascii="Arial" w:hAnsi="Arial" w:cs="Arial"/>
          <w:sz w:val="20"/>
          <w:szCs w:val="20"/>
        </w:rPr>
        <w:footnoteRef/>
      </w:r>
      <w:r w:rsidRPr="003435C1">
        <w:rPr>
          <w:rFonts w:ascii="Arial" w:hAnsi="Arial" w:cs="Arial"/>
          <w:sz w:val="20"/>
          <w:szCs w:val="20"/>
        </w:rPr>
        <w:t xml:space="preserve"> Ley General de Salud, artículo reformado DOF 27-05-1987, 12-01-2006, 01-09-2011</w:t>
      </w:r>
    </w:p>
  </w:footnote>
  <w:footnote w:id="77">
    <w:p w14:paraId="7A9B1F67" w14:textId="77777777" w:rsidR="00CF252E" w:rsidRPr="00041E44" w:rsidRDefault="00CF252E" w:rsidP="00461369">
      <w:pPr>
        <w:spacing w:after="0" w:line="240" w:lineRule="auto"/>
        <w:rPr>
          <w:rFonts w:ascii="Arial" w:hAnsi="Arial" w:cs="Arial"/>
          <w:sz w:val="20"/>
          <w:szCs w:val="20"/>
        </w:rPr>
      </w:pPr>
      <w:r w:rsidRPr="003435C1">
        <w:rPr>
          <w:rStyle w:val="Refdenotaalpie"/>
          <w:rFonts w:ascii="Arial" w:hAnsi="Arial" w:cs="Arial"/>
          <w:sz w:val="20"/>
          <w:szCs w:val="20"/>
        </w:rPr>
        <w:footnoteRef/>
      </w:r>
      <w:r w:rsidRPr="003435C1">
        <w:rPr>
          <w:rFonts w:ascii="Arial" w:hAnsi="Arial" w:cs="Arial"/>
          <w:sz w:val="20"/>
          <w:szCs w:val="20"/>
        </w:rPr>
        <w:t xml:space="preserve"> Ley General de Salud, artículo reformado DOF 01-09-2011</w:t>
      </w:r>
    </w:p>
  </w:footnote>
  <w:footnote w:id="78">
    <w:p w14:paraId="2C10B312" w14:textId="77777777" w:rsidR="00CF252E" w:rsidRPr="00041E44" w:rsidRDefault="00CF252E" w:rsidP="00CE6011">
      <w:pPr>
        <w:pStyle w:val="Textonotapie"/>
        <w:rPr>
          <w:rFonts w:ascii="Arial" w:hAnsi="Arial" w:cs="Arial"/>
        </w:rPr>
      </w:pPr>
      <w:r w:rsidRPr="00041E44">
        <w:rPr>
          <w:rStyle w:val="Refdenotaalpie"/>
          <w:rFonts w:ascii="Arial" w:hAnsi="Arial" w:cs="Arial"/>
        </w:rPr>
        <w:footnoteRef/>
      </w:r>
      <w:r w:rsidRPr="00041E44">
        <w:rPr>
          <w:rFonts w:ascii="Arial" w:hAnsi="Arial" w:cs="Arial"/>
        </w:rPr>
        <w:t xml:space="preserve"> Ley General de Salud, artículo reformado DOF 27-05-1987</w:t>
      </w:r>
    </w:p>
    <w:p w14:paraId="17B28EBC" w14:textId="77777777" w:rsidR="00CF252E" w:rsidRDefault="00CF252E" w:rsidP="00CE6011">
      <w:pPr>
        <w:pStyle w:val="Textonotapie"/>
      </w:pPr>
    </w:p>
  </w:footnote>
  <w:footnote w:id="79">
    <w:p w14:paraId="381A89EE" w14:textId="77777777" w:rsidR="00CF252E" w:rsidRPr="00E06CD6" w:rsidRDefault="00CF252E" w:rsidP="00F12B1B">
      <w:pPr>
        <w:pStyle w:val="Textonotapie"/>
        <w:ind w:left="227" w:hanging="227"/>
        <w:rPr>
          <w:rFonts w:ascii="Arial" w:hAnsi="Arial" w:cs="Arial"/>
          <w:lang w:val="en-US"/>
        </w:rPr>
      </w:pPr>
      <w:r w:rsidRPr="003435C1">
        <w:rPr>
          <w:rStyle w:val="Refdenotaalpie"/>
          <w:rFonts w:ascii="Arial" w:hAnsi="Arial" w:cs="Arial"/>
        </w:rPr>
        <w:footnoteRef/>
      </w:r>
      <w:r w:rsidRPr="003435C1">
        <w:rPr>
          <w:rFonts w:ascii="Arial" w:hAnsi="Arial" w:cs="Arial"/>
        </w:rPr>
        <w:t xml:space="preserve"> Querido, S., Vergouw, D., Wigersma, L., Batenburg, R., De Rond, M., Ten, O. (2016). </w:t>
      </w:r>
      <w:r w:rsidRPr="003435C1">
        <w:rPr>
          <w:rFonts w:ascii="Arial" w:hAnsi="Arial" w:cs="Arial"/>
          <w:lang w:val="en-US"/>
        </w:rPr>
        <w:t xml:space="preserve">Dynamics of career choice among students in undergraduate medical courses. A BEME systematic review: BEME Guide No. 33. </w:t>
      </w:r>
      <w:r w:rsidRPr="003435C1">
        <w:rPr>
          <w:rFonts w:ascii="Arial" w:hAnsi="Arial" w:cs="Arial"/>
          <w:i/>
          <w:lang w:val="en-US"/>
        </w:rPr>
        <w:t>Medical Teacher</w:t>
      </w:r>
      <w:r w:rsidRPr="003435C1">
        <w:rPr>
          <w:rFonts w:ascii="Arial" w:hAnsi="Arial" w:cs="Arial"/>
          <w:lang w:val="en-US"/>
        </w:rPr>
        <w:t>, vol. 38 (1), pp. 18-29.</w:t>
      </w:r>
    </w:p>
  </w:footnote>
  <w:footnote w:id="80">
    <w:p w14:paraId="6D2A3BCF" w14:textId="77777777" w:rsidR="00CF252E" w:rsidRPr="003435C1" w:rsidRDefault="00CF252E" w:rsidP="00F12B1B">
      <w:pPr>
        <w:pStyle w:val="Textonotapie"/>
        <w:ind w:left="227" w:hanging="227"/>
        <w:rPr>
          <w:rFonts w:ascii="Arial" w:hAnsi="Arial" w:cs="Arial"/>
        </w:rPr>
      </w:pPr>
      <w:r w:rsidRPr="003435C1">
        <w:rPr>
          <w:rStyle w:val="Refdenotaalpie"/>
          <w:rFonts w:ascii="Arial" w:hAnsi="Arial" w:cs="Arial"/>
        </w:rPr>
        <w:footnoteRef/>
      </w:r>
      <w:r w:rsidRPr="003435C1">
        <w:rPr>
          <w:rFonts w:ascii="Arial" w:hAnsi="Arial" w:cs="Arial"/>
        </w:rPr>
        <w:t xml:space="preserve"> Gutiérrez, C., Naveja, J., Sánchez, M. (2017). Factores relacionados con la elección de una especialidad en medicina. </w:t>
      </w:r>
      <w:r w:rsidRPr="003435C1">
        <w:rPr>
          <w:rFonts w:ascii="Arial" w:hAnsi="Arial" w:cs="Arial"/>
          <w:i/>
        </w:rPr>
        <w:t>Investigación en Educación Médica</w:t>
      </w:r>
      <w:r w:rsidRPr="003435C1">
        <w:rPr>
          <w:rFonts w:ascii="Arial" w:hAnsi="Arial" w:cs="Arial"/>
        </w:rPr>
        <w:t>, vol. 6(23), pp. 206-214.</w:t>
      </w:r>
    </w:p>
  </w:footnote>
  <w:footnote w:id="81">
    <w:p w14:paraId="084577ED" w14:textId="04D0DA21" w:rsidR="00CF252E" w:rsidRPr="003435C1" w:rsidRDefault="00CF252E" w:rsidP="00954059">
      <w:pPr>
        <w:pStyle w:val="Textonotapie"/>
        <w:rPr>
          <w:rFonts w:ascii="Arial" w:hAnsi="Arial" w:cs="Arial"/>
        </w:rPr>
      </w:pPr>
      <w:r w:rsidRPr="003435C1">
        <w:rPr>
          <w:rStyle w:val="Refdenotaalpie"/>
          <w:rFonts w:ascii="Arial" w:hAnsi="Arial" w:cs="Arial"/>
        </w:rPr>
        <w:footnoteRef/>
      </w:r>
      <w:r w:rsidRPr="003435C1">
        <w:rPr>
          <w:rFonts w:ascii="Arial" w:hAnsi="Arial" w:cs="Arial"/>
        </w:rPr>
        <w:t xml:space="preserve"> Fajardo </w:t>
      </w:r>
      <w:r w:rsidRPr="003435C1">
        <w:rPr>
          <w:rFonts w:ascii="Arial" w:hAnsi="Arial" w:cs="Arial"/>
          <w:i/>
        </w:rPr>
        <w:t>et al.</w:t>
      </w:r>
      <w:r w:rsidRPr="003435C1">
        <w:rPr>
          <w:rFonts w:ascii="Arial" w:hAnsi="Arial" w:cs="Arial"/>
        </w:rPr>
        <w:t xml:space="preserve"> (2015), </w:t>
      </w:r>
      <w:r w:rsidRPr="003435C1">
        <w:rPr>
          <w:rFonts w:ascii="Arial" w:hAnsi="Arial" w:cs="Arial"/>
          <w:i/>
        </w:rPr>
        <w:t>op. cit</w:t>
      </w:r>
      <w:r w:rsidRPr="003435C1">
        <w:rPr>
          <w:rFonts w:ascii="Arial" w:hAnsi="Arial" w:cs="Arial"/>
        </w:rPr>
        <w:t>., p. 35.</w:t>
      </w:r>
    </w:p>
  </w:footnote>
  <w:footnote w:id="82">
    <w:p w14:paraId="6C167F29" w14:textId="77777777" w:rsidR="00CF252E" w:rsidRPr="000D6ACB" w:rsidRDefault="00CF252E" w:rsidP="00F12B1B">
      <w:pPr>
        <w:pStyle w:val="Textonotapie"/>
        <w:ind w:left="227" w:hanging="227"/>
      </w:pPr>
      <w:r w:rsidRPr="003435C1">
        <w:rPr>
          <w:rStyle w:val="Refdenotaalpie"/>
          <w:rFonts w:ascii="Arial" w:hAnsi="Arial" w:cs="Arial"/>
        </w:rPr>
        <w:footnoteRef/>
      </w:r>
      <w:r w:rsidRPr="003435C1">
        <w:rPr>
          <w:rFonts w:ascii="Arial" w:hAnsi="Arial" w:cs="Arial"/>
          <w:lang w:val="en-US"/>
        </w:rPr>
        <w:t xml:space="preserve"> Bland, C., Meurer, L., Maldona, G. (1995). Determinants of primary care specialty choice: A non-statistical meta-analysis of the literature. </w:t>
      </w:r>
      <w:r w:rsidRPr="003435C1">
        <w:rPr>
          <w:rFonts w:ascii="Arial" w:hAnsi="Arial" w:cs="Arial"/>
          <w:i/>
        </w:rPr>
        <w:t>Acad Med</w:t>
      </w:r>
      <w:r w:rsidRPr="003435C1">
        <w:rPr>
          <w:rFonts w:ascii="Arial" w:hAnsi="Arial" w:cs="Arial"/>
        </w:rPr>
        <w:t>, vol. 70(7), pp.620–641.</w:t>
      </w:r>
    </w:p>
  </w:footnote>
  <w:footnote w:id="83">
    <w:p w14:paraId="36192D59" w14:textId="1ACBE3A8" w:rsidR="00CF252E" w:rsidRPr="00E06CD6" w:rsidRDefault="00CF252E" w:rsidP="00954059">
      <w:pPr>
        <w:pStyle w:val="Textonotapie"/>
        <w:rPr>
          <w:rFonts w:ascii="Arial" w:hAnsi="Arial" w:cs="Arial"/>
        </w:rPr>
      </w:pPr>
      <w:r w:rsidRPr="00E06CD6">
        <w:rPr>
          <w:rStyle w:val="Refdenotaalpie"/>
          <w:rFonts w:ascii="Arial" w:hAnsi="Arial" w:cs="Arial"/>
        </w:rPr>
        <w:footnoteRef/>
      </w:r>
      <w:r w:rsidRPr="00E06CD6">
        <w:rPr>
          <w:rFonts w:ascii="Arial" w:hAnsi="Arial" w:cs="Arial"/>
        </w:rPr>
        <w:t xml:space="preserve"> Querido </w:t>
      </w:r>
      <w:r>
        <w:rPr>
          <w:rFonts w:ascii="Arial" w:hAnsi="Arial" w:cs="Arial"/>
          <w:i/>
        </w:rPr>
        <w:t>et</w:t>
      </w:r>
      <w:r w:rsidRPr="00E06CD6">
        <w:rPr>
          <w:rFonts w:ascii="Arial" w:hAnsi="Arial" w:cs="Arial"/>
          <w:i/>
        </w:rPr>
        <w:t xml:space="preserve"> al.</w:t>
      </w:r>
      <w:r w:rsidRPr="00E06CD6">
        <w:rPr>
          <w:rFonts w:ascii="Arial" w:hAnsi="Arial" w:cs="Arial"/>
        </w:rPr>
        <w:t xml:space="preserve"> (2016), </w:t>
      </w:r>
      <w:r w:rsidRPr="00E06CD6">
        <w:rPr>
          <w:rFonts w:ascii="Arial" w:hAnsi="Arial" w:cs="Arial"/>
          <w:i/>
        </w:rPr>
        <w:t>op. cit</w:t>
      </w:r>
      <w:r w:rsidRPr="00E06CD6">
        <w:rPr>
          <w:rFonts w:ascii="Arial" w:hAnsi="Arial" w:cs="Arial"/>
        </w:rPr>
        <w:t>., p. 20.</w:t>
      </w:r>
    </w:p>
  </w:footnote>
  <w:footnote w:id="84">
    <w:p w14:paraId="7EED8712" w14:textId="77777777" w:rsidR="00CF252E" w:rsidRPr="00E06CD6" w:rsidRDefault="00CF252E" w:rsidP="00F12B1B">
      <w:pPr>
        <w:pStyle w:val="Textonotapie"/>
        <w:ind w:left="227" w:hanging="227"/>
        <w:rPr>
          <w:rFonts w:ascii="Arial" w:hAnsi="Arial" w:cs="Arial"/>
        </w:rPr>
      </w:pPr>
      <w:r w:rsidRPr="00E06CD6">
        <w:rPr>
          <w:rStyle w:val="Refdenotaalpie"/>
          <w:rFonts w:ascii="Arial" w:hAnsi="Arial" w:cs="Arial"/>
        </w:rPr>
        <w:footnoteRef/>
      </w:r>
      <w:r w:rsidRPr="00E06CD6">
        <w:rPr>
          <w:rFonts w:ascii="Arial" w:hAnsi="Arial" w:cs="Arial"/>
        </w:rPr>
        <w:t xml:space="preserve"> </w:t>
      </w:r>
      <w:r w:rsidRPr="003435C1">
        <w:rPr>
          <w:rFonts w:ascii="Arial" w:hAnsi="Arial" w:cs="Arial"/>
        </w:rPr>
        <w:t>Rodríguez, R. (1989) Metodología para el análisis demográfico de la eficiencia terminal, la deserción y el rezago escolar. En “</w:t>
      </w:r>
      <w:r w:rsidRPr="003435C1">
        <w:rPr>
          <w:rFonts w:ascii="Arial" w:hAnsi="Arial" w:cs="Arial"/>
          <w:i/>
        </w:rPr>
        <w:t>La trayectoria escolar en la educación superior. Panorámica de la investigación y acercamientos metodológicos</w:t>
      </w:r>
      <w:r w:rsidRPr="003435C1">
        <w:rPr>
          <w:rFonts w:ascii="Arial" w:hAnsi="Arial" w:cs="Arial"/>
        </w:rPr>
        <w:t>” R. Santoyo (coord.) ANUIES; México, D.F. (pp. 225-280).</w:t>
      </w:r>
    </w:p>
  </w:footnote>
  <w:footnote w:id="85">
    <w:p w14:paraId="00BB27A3" w14:textId="77777777" w:rsidR="00CF252E" w:rsidRPr="003435C1" w:rsidRDefault="00CF252E" w:rsidP="00F12B1B">
      <w:pPr>
        <w:pStyle w:val="Textonotapie"/>
        <w:ind w:left="227" w:hanging="227"/>
        <w:rPr>
          <w:rFonts w:ascii="Arial" w:hAnsi="Arial" w:cs="Arial"/>
        </w:rPr>
      </w:pPr>
      <w:r w:rsidRPr="001472B8">
        <w:rPr>
          <w:rStyle w:val="Refdenotaalpie"/>
          <w:rFonts w:ascii="Arial" w:hAnsi="Arial" w:cs="Arial"/>
        </w:rPr>
        <w:footnoteRef/>
      </w:r>
      <w:r w:rsidRPr="001472B8">
        <w:rPr>
          <w:rFonts w:ascii="Arial" w:hAnsi="Arial" w:cs="Arial"/>
        </w:rPr>
        <w:t xml:space="preserve"> </w:t>
      </w:r>
      <w:r w:rsidRPr="003435C1">
        <w:rPr>
          <w:rFonts w:ascii="Arial" w:hAnsi="Arial" w:cs="Arial"/>
        </w:rPr>
        <w:t xml:space="preserve">Graue, E. (2015). Prólogo. En </w:t>
      </w:r>
      <w:r w:rsidRPr="003435C1">
        <w:rPr>
          <w:rFonts w:ascii="Arial" w:hAnsi="Arial" w:cs="Arial"/>
          <w:i/>
        </w:rPr>
        <w:t>La formación de médicos especialistas en México. Documento de postura</w:t>
      </w:r>
      <w:r w:rsidRPr="003435C1">
        <w:rPr>
          <w:rFonts w:ascii="Arial" w:hAnsi="Arial" w:cs="Arial"/>
        </w:rPr>
        <w:t xml:space="preserve"> (pp. XIII-XVI). Fajardo, G., Santacruz, J. y C. Lavalle (coords.); Academia Nacional de Medicina de México y Consejo Nacional de Ciencia y Tecnología de México; Ciudad de México.</w:t>
      </w:r>
    </w:p>
  </w:footnote>
  <w:footnote w:id="86">
    <w:p w14:paraId="26EC439A" w14:textId="77777777" w:rsidR="00CF252E" w:rsidRPr="003435C1" w:rsidRDefault="00CF252E" w:rsidP="00E06CD6">
      <w:pPr>
        <w:pStyle w:val="Textonotapie"/>
        <w:rPr>
          <w:rFonts w:ascii="Arial" w:hAnsi="Arial" w:cs="Arial"/>
        </w:rPr>
      </w:pPr>
      <w:r w:rsidRPr="003435C1">
        <w:rPr>
          <w:rStyle w:val="Refdenotaalpie"/>
          <w:rFonts w:ascii="Arial" w:hAnsi="Arial" w:cs="Arial"/>
        </w:rPr>
        <w:footnoteRef/>
      </w:r>
      <w:r w:rsidRPr="003435C1">
        <w:rPr>
          <w:rFonts w:ascii="Arial" w:hAnsi="Arial" w:cs="Arial"/>
        </w:rPr>
        <w:t xml:space="preserve"> Fajardo (2015), </w:t>
      </w:r>
      <w:r w:rsidRPr="003435C1">
        <w:rPr>
          <w:rFonts w:ascii="Arial" w:hAnsi="Arial" w:cs="Arial"/>
          <w:i/>
        </w:rPr>
        <w:t>op. cit.</w:t>
      </w:r>
      <w:r w:rsidRPr="003435C1">
        <w:rPr>
          <w:rFonts w:ascii="Arial" w:hAnsi="Arial" w:cs="Arial"/>
        </w:rPr>
        <w:t>, p. 192</w:t>
      </w:r>
    </w:p>
  </w:footnote>
  <w:footnote w:id="87">
    <w:p w14:paraId="50EA24F1" w14:textId="77777777" w:rsidR="00CF252E" w:rsidRPr="001472B8" w:rsidRDefault="00CF252E" w:rsidP="00E06CD6">
      <w:pPr>
        <w:pStyle w:val="Textonotapie"/>
        <w:rPr>
          <w:rFonts w:ascii="Arial" w:hAnsi="Arial" w:cs="Arial"/>
        </w:rPr>
      </w:pPr>
      <w:r w:rsidRPr="003435C1">
        <w:rPr>
          <w:rStyle w:val="Refdenotaalpie"/>
          <w:rFonts w:ascii="Arial" w:hAnsi="Arial" w:cs="Arial"/>
        </w:rPr>
        <w:footnoteRef/>
      </w:r>
      <w:r w:rsidRPr="003435C1">
        <w:rPr>
          <w:rFonts w:ascii="Arial" w:hAnsi="Arial" w:cs="Arial"/>
        </w:rPr>
        <w:t xml:space="preserve"> Graue, E. (2015).</w:t>
      </w:r>
      <w:r w:rsidRPr="001472B8">
        <w:rPr>
          <w:rFonts w:ascii="Arial" w:hAnsi="Arial" w:cs="Arial"/>
        </w:rPr>
        <w:t xml:space="preserve"> </w:t>
      </w:r>
    </w:p>
  </w:footnote>
  <w:footnote w:id="88">
    <w:p w14:paraId="41980728" w14:textId="1057AD69" w:rsidR="00CF252E" w:rsidRDefault="00CF252E" w:rsidP="00E06CD6">
      <w:pPr>
        <w:pStyle w:val="Textonotapie"/>
      </w:pPr>
      <w:r w:rsidRPr="001472B8">
        <w:rPr>
          <w:rStyle w:val="Refdenotaalpie"/>
          <w:rFonts w:ascii="Arial" w:hAnsi="Arial" w:cs="Arial"/>
        </w:rPr>
        <w:footnoteRef/>
      </w:r>
      <w:r w:rsidRPr="001472B8">
        <w:rPr>
          <w:rFonts w:ascii="Arial" w:hAnsi="Arial" w:cs="Arial"/>
        </w:rPr>
        <w:t xml:space="preserve"> Gutiérrez </w:t>
      </w:r>
      <w:r>
        <w:rPr>
          <w:rFonts w:ascii="Arial" w:hAnsi="Arial" w:cs="Arial"/>
          <w:i/>
        </w:rPr>
        <w:t>et</w:t>
      </w:r>
      <w:r w:rsidRPr="001472B8">
        <w:rPr>
          <w:rFonts w:ascii="Arial" w:hAnsi="Arial" w:cs="Arial"/>
          <w:i/>
        </w:rPr>
        <w:t xml:space="preserve"> al. </w:t>
      </w:r>
      <w:r w:rsidRPr="001472B8">
        <w:rPr>
          <w:rFonts w:ascii="Arial" w:hAnsi="Arial" w:cs="Arial"/>
        </w:rPr>
        <w:t>(2017),</w:t>
      </w:r>
      <w:r w:rsidRPr="001472B8">
        <w:rPr>
          <w:rFonts w:ascii="Arial" w:hAnsi="Arial" w:cs="Arial"/>
          <w:i/>
        </w:rPr>
        <w:t xml:space="preserve"> op. cit.,</w:t>
      </w:r>
      <w:r w:rsidRPr="001472B8">
        <w:rPr>
          <w:rFonts w:ascii="Arial" w:hAnsi="Arial" w:cs="Arial"/>
        </w:rPr>
        <w:t xml:space="preserve"> p. 212</w:t>
      </w:r>
    </w:p>
  </w:footnote>
  <w:footnote w:id="89">
    <w:p w14:paraId="00576459" w14:textId="2E7DD5B4" w:rsidR="00CF252E" w:rsidRPr="001472B8" w:rsidRDefault="00CF252E" w:rsidP="00E06CD6">
      <w:pPr>
        <w:pStyle w:val="Textonotapie"/>
        <w:rPr>
          <w:rFonts w:ascii="Arial" w:hAnsi="Arial" w:cs="Arial"/>
        </w:rPr>
      </w:pPr>
      <w:r w:rsidRPr="001472B8">
        <w:rPr>
          <w:rStyle w:val="Refdenotaalpie"/>
          <w:rFonts w:ascii="Arial" w:hAnsi="Arial" w:cs="Arial"/>
        </w:rPr>
        <w:footnoteRef/>
      </w:r>
      <w:r w:rsidRPr="001472B8">
        <w:rPr>
          <w:rFonts w:ascii="Arial" w:hAnsi="Arial" w:cs="Arial"/>
        </w:rPr>
        <w:t xml:space="preserve"> Fajardo </w:t>
      </w:r>
      <w:r>
        <w:rPr>
          <w:rFonts w:ascii="Arial" w:hAnsi="Arial" w:cs="Arial"/>
          <w:i/>
        </w:rPr>
        <w:t>et</w:t>
      </w:r>
      <w:r w:rsidRPr="001472B8">
        <w:rPr>
          <w:rFonts w:ascii="Arial" w:hAnsi="Arial" w:cs="Arial"/>
          <w:i/>
        </w:rPr>
        <w:t xml:space="preserve"> al.</w:t>
      </w:r>
      <w:r w:rsidRPr="001472B8">
        <w:rPr>
          <w:rFonts w:ascii="Arial" w:hAnsi="Arial" w:cs="Arial"/>
        </w:rPr>
        <w:t xml:space="preserve"> (2015), </w:t>
      </w:r>
      <w:r w:rsidRPr="001472B8">
        <w:rPr>
          <w:rFonts w:ascii="Arial" w:hAnsi="Arial" w:cs="Arial"/>
          <w:i/>
        </w:rPr>
        <w:t>op. cit.</w:t>
      </w:r>
      <w:r w:rsidRPr="001472B8">
        <w:rPr>
          <w:rFonts w:ascii="Arial" w:hAnsi="Arial" w:cs="Arial"/>
        </w:rPr>
        <w:t>, p. 44.</w:t>
      </w:r>
    </w:p>
  </w:footnote>
  <w:footnote w:id="90">
    <w:p w14:paraId="33B16381" w14:textId="77777777" w:rsidR="00CF252E" w:rsidRPr="001472B8" w:rsidRDefault="00CF252E" w:rsidP="005B44CA">
      <w:pPr>
        <w:pStyle w:val="Textonotapie"/>
        <w:rPr>
          <w:rFonts w:ascii="Arial" w:hAnsi="Arial" w:cs="Arial"/>
          <w:lang w:val="en-US"/>
        </w:rPr>
      </w:pPr>
      <w:r w:rsidRPr="001472B8">
        <w:rPr>
          <w:rStyle w:val="Refdenotaalpie"/>
          <w:rFonts w:ascii="Arial" w:hAnsi="Arial" w:cs="Arial"/>
        </w:rPr>
        <w:footnoteRef/>
      </w:r>
      <w:r w:rsidRPr="001472B8">
        <w:rPr>
          <w:rFonts w:ascii="Arial" w:hAnsi="Arial" w:cs="Arial"/>
          <w:lang w:val="en-US"/>
        </w:rPr>
        <w:t xml:space="preserve"> SSA (2019), </w:t>
      </w:r>
      <w:r w:rsidRPr="001472B8">
        <w:rPr>
          <w:rFonts w:ascii="Arial" w:hAnsi="Arial" w:cs="Arial"/>
          <w:i/>
          <w:lang w:val="en-US"/>
        </w:rPr>
        <w:t>op. cit.</w:t>
      </w:r>
      <w:r w:rsidRPr="001472B8">
        <w:rPr>
          <w:rFonts w:ascii="Arial" w:hAnsi="Arial" w:cs="Arial"/>
          <w:lang w:val="en-US"/>
        </w:rPr>
        <w:t>, s.p.</w:t>
      </w:r>
    </w:p>
  </w:footnote>
  <w:footnote w:id="91">
    <w:p w14:paraId="3743160B" w14:textId="77777777" w:rsidR="00CF252E" w:rsidRPr="001472B8" w:rsidRDefault="00CF252E" w:rsidP="005B44CA">
      <w:pPr>
        <w:pStyle w:val="Textonotapie"/>
        <w:rPr>
          <w:rFonts w:ascii="Arial" w:hAnsi="Arial" w:cs="Arial"/>
        </w:rPr>
      </w:pPr>
      <w:r w:rsidRPr="001472B8">
        <w:rPr>
          <w:rStyle w:val="Refdenotaalpie"/>
          <w:rFonts w:ascii="Arial" w:hAnsi="Arial" w:cs="Arial"/>
        </w:rPr>
        <w:footnoteRef/>
      </w:r>
      <w:r w:rsidRPr="001472B8">
        <w:rPr>
          <w:rFonts w:ascii="Arial" w:hAnsi="Arial" w:cs="Arial"/>
        </w:rPr>
        <w:t xml:space="preserve"> INEGI (2018), </w:t>
      </w:r>
      <w:r w:rsidRPr="001472B8">
        <w:rPr>
          <w:rFonts w:ascii="Arial" w:hAnsi="Arial" w:cs="Arial"/>
          <w:i/>
        </w:rPr>
        <w:t>op. cit</w:t>
      </w:r>
      <w:r w:rsidRPr="001472B8">
        <w:rPr>
          <w:rFonts w:ascii="Arial" w:hAnsi="Arial" w:cs="Arial"/>
        </w:rPr>
        <w:t>., s.p.</w:t>
      </w:r>
    </w:p>
  </w:footnote>
  <w:footnote w:id="92">
    <w:p w14:paraId="23B1857B" w14:textId="4A484DDB" w:rsidR="00CF252E" w:rsidRPr="001472B8" w:rsidRDefault="00CF252E" w:rsidP="005B44CA">
      <w:pPr>
        <w:pStyle w:val="Textonotapie"/>
        <w:rPr>
          <w:rFonts w:ascii="Arial" w:hAnsi="Arial" w:cs="Arial"/>
          <w:lang w:val="en-US"/>
        </w:rPr>
      </w:pPr>
      <w:r w:rsidRPr="001472B8">
        <w:rPr>
          <w:rStyle w:val="Refdenotaalpie"/>
          <w:rFonts w:ascii="Arial" w:hAnsi="Arial" w:cs="Arial"/>
        </w:rPr>
        <w:footnoteRef/>
      </w:r>
      <w:r w:rsidRPr="001472B8">
        <w:rPr>
          <w:rFonts w:ascii="Arial" w:hAnsi="Arial" w:cs="Arial"/>
        </w:rPr>
        <w:t xml:space="preserve"> Fajardo </w:t>
      </w:r>
      <w:r>
        <w:rPr>
          <w:rFonts w:ascii="Arial" w:hAnsi="Arial" w:cs="Arial"/>
          <w:i/>
        </w:rPr>
        <w:t>et</w:t>
      </w:r>
      <w:r w:rsidRPr="001472B8">
        <w:rPr>
          <w:rFonts w:ascii="Arial" w:hAnsi="Arial" w:cs="Arial"/>
          <w:i/>
        </w:rPr>
        <w:t xml:space="preserve"> al.</w:t>
      </w:r>
      <w:r w:rsidRPr="001472B8">
        <w:rPr>
          <w:rFonts w:ascii="Arial" w:hAnsi="Arial" w:cs="Arial"/>
        </w:rPr>
        <w:t xml:space="preserve"> </w:t>
      </w:r>
      <w:r w:rsidRPr="001472B8">
        <w:rPr>
          <w:rFonts w:ascii="Arial" w:hAnsi="Arial" w:cs="Arial"/>
          <w:lang w:val="en-US"/>
        </w:rPr>
        <w:t xml:space="preserve">(2015), </w:t>
      </w:r>
      <w:r w:rsidRPr="001472B8">
        <w:rPr>
          <w:rFonts w:ascii="Arial" w:hAnsi="Arial" w:cs="Arial"/>
          <w:i/>
          <w:lang w:val="en-US"/>
        </w:rPr>
        <w:t>op. cit.</w:t>
      </w:r>
      <w:r w:rsidRPr="001472B8">
        <w:rPr>
          <w:rFonts w:ascii="Arial" w:hAnsi="Arial" w:cs="Arial"/>
          <w:lang w:val="en-US"/>
        </w:rPr>
        <w:t>, p. 33</w:t>
      </w:r>
    </w:p>
  </w:footnote>
  <w:footnote w:id="93">
    <w:p w14:paraId="6C5A7F38" w14:textId="167256C8" w:rsidR="00CF252E" w:rsidRPr="007F0A09" w:rsidRDefault="00CF252E" w:rsidP="005B44CA">
      <w:pPr>
        <w:pStyle w:val="Textonotapie"/>
        <w:rPr>
          <w:rFonts w:ascii="Arial" w:hAnsi="Arial" w:cs="Arial"/>
        </w:rPr>
      </w:pPr>
      <w:r w:rsidRPr="001472B8">
        <w:rPr>
          <w:rStyle w:val="Refdenotaalpie"/>
          <w:rFonts w:ascii="Arial" w:hAnsi="Arial" w:cs="Arial"/>
        </w:rPr>
        <w:footnoteRef/>
      </w:r>
      <w:r w:rsidRPr="001472B8">
        <w:rPr>
          <w:rFonts w:ascii="Arial" w:hAnsi="Arial" w:cs="Arial"/>
          <w:lang w:val="en-US"/>
        </w:rPr>
        <w:t xml:space="preserve"> Heinze </w:t>
      </w:r>
      <w:r>
        <w:rPr>
          <w:rFonts w:ascii="Arial" w:hAnsi="Arial" w:cs="Arial"/>
          <w:i/>
          <w:lang w:val="en-US"/>
        </w:rPr>
        <w:t>et</w:t>
      </w:r>
      <w:r w:rsidRPr="001472B8">
        <w:rPr>
          <w:rFonts w:ascii="Arial" w:hAnsi="Arial" w:cs="Arial"/>
          <w:i/>
          <w:lang w:val="en-US"/>
        </w:rPr>
        <w:t xml:space="preserve"> al.</w:t>
      </w:r>
      <w:r w:rsidRPr="001472B8">
        <w:rPr>
          <w:rFonts w:ascii="Arial" w:hAnsi="Arial" w:cs="Arial"/>
          <w:lang w:val="en-US"/>
        </w:rPr>
        <w:t xml:space="preserve"> </w:t>
      </w:r>
      <w:r w:rsidRPr="007F0A09">
        <w:rPr>
          <w:rFonts w:ascii="Arial" w:hAnsi="Arial" w:cs="Arial"/>
        </w:rPr>
        <w:t xml:space="preserve">(2018), </w:t>
      </w:r>
      <w:r w:rsidRPr="007F0A09">
        <w:rPr>
          <w:rFonts w:ascii="Arial" w:hAnsi="Arial" w:cs="Arial"/>
          <w:i/>
        </w:rPr>
        <w:t>op. cit.</w:t>
      </w:r>
      <w:r w:rsidRPr="007F0A09">
        <w:rPr>
          <w:rFonts w:ascii="Arial" w:hAnsi="Arial" w:cs="Arial"/>
        </w:rPr>
        <w:t>, p. 344</w:t>
      </w:r>
    </w:p>
  </w:footnote>
  <w:footnote w:id="94">
    <w:p w14:paraId="66CF88BE" w14:textId="77777777" w:rsidR="00CF252E" w:rsidRPr="001472B8" w:rsidRDefault="00CF252E" w:rsidP="005B44CA">
      <w:pPr>
        <w:pStyle w:val="Textonotapie"/>
        <w:rPr>
          <w:rFonts w:ascii="Arial" w:hAnsi="Arial" w:cs="Arial"/>
        </w:rPr>
      </w:pPr>
      <w:r w:rsidRPr="001472B8">
        <w:rPr>
          <w:rStyle w:val="Refdenotaalpie"/>
          <w:rFonts w:ascii="Arial" w:hAnsi="Arial" w:cs="Arial"/>
        </w:rPr>
        <w:footnoteRef/>
      </w:r>
      <w:r w:rsidRPr="001472B8">
        <w:rPr>
          <w:rFonts w:ascii="Arial" w:hAnsi="Arial" w:cs="Arial"/>
        </w:rPr>
        <w:t xml:space="preserve"> </w:t>
      </w:r>
      <w:r w:rsidRPr="001472B8">
        <w:rPr>
          <w:rFonts w:ascii="Arial" w:hAnsi="Arial" w:cs="Arial"/>
          <w:i/>
        </w:rPr>
        <w:t>Ibídem</w:t>
      </w:r>
      <w:r w:rsidRPr="001472B8">
        <w:rPr>
          <w:rFonts w:ascii="Arial" w:hAnsi="Arial" w:cs="Arial"/>
        </w:rPr>
        <w:t>.</w:t>
      </w:r>
    </w:p>
  </w:footnote>
  <w:footnote w:id="95">
    <w:p w14:paraId="42BDD589" w14:textId="265CC607" w:rsidR="00CF252E" w:rsidRPr="00A56C18" w:rsidRDefault="00CF252E" w:rsidP="005B44CA">
      <w:pPr>
        <w:pStyle w:val="Textonotapie"/>
        <w:rPr>
          <w:rFonts w:ascii="Arial" w:hAnsi="Arial" w:cs="Arial"/>
        </w:rPr>
      </w:pPr>
      <w:r w:rsidRPr="001472B8">
        <w:rPr>
          <w:rStyle w:val="Refdenotaalpie"/>
          <w:rFonts w:ascii="Arial" w:hAnsi="Arial" w:cs="Arial"/>
        </w:rPr>
        <w:footnoteRef/>
      </w:r>
      <w:r>
        <w:rPr>
          <w:rFonts w:ascii="Arial" w:hAnsi="Arial" w:cs="Arial"/>
        </w:rPr>
        <w:t xml:space="preserve"> Fajardo </w:t>
      </w:r>
      <w:r w:rsidRPr="005A27A1">
        <w:rPr>
          <w:rFonts w:ascii="Arial" w:hAnsi="Arial" w:cs="Arial"/>
          <w:i/>
        </w:rPr>
        <w:t>et al</w:t>
      </w:r>
      <w:r w:rsidRPr="001472B8">
        <w:rPr>
          <w:rFonts w:ascii="Arial" w:hAnsi="Arial" w:cs="Arial"/>
        </w:rPr>
        <w:t xml:space="preserve">. </w:t>
      </w:r>
      <w:r w:rsidRPr="00A56C18">
        <w:rPr>
          <w:rFonts w:ascii="Arial" w:hAnsi="Arial" w:cs="Arial"/>
        </w:rPr>
        <w:t>(2015), op. cit., p. 31.</w:t>
      </w:r>
    </w:p>
  </w:footnote>
  <w:footnote w:id="96">
    <w:p w14:paraId="07B5D3EC" w14:textId="77777777" w:rsidR="00CF252E" w:rsidRPr="003435C1" w:rsidRDefault="00CF252E" w:rsidP="00F12B1B">
      <w:pPr>
        <w:pStyle w:val="Textonotapie"/>
        <w:ind w:left="227" w:hanging="227"/>
        <w:rPr>
          <w:rFonts w:ascii="Arial" w:hAnsi="Arial" w:cs="Arial"/>
          <w:lang w:val="en-US"/>
        </w:rPr>
      </w:pPr>
      <w:r w:rsidRPr="003435C1">
        <w:rPr>
          <w:rStyle w:val="Refdenotaalpie"/>
          <w:rFonts w:ascii="Arial" w:hAnsi="Arial" w:cs="Arial"/>
        </w:rPr>
        <w:footnoteRef/>
      </w:r>
      <w:r w:rsidRPr="003435C1">
        <w:rPr>
          <w:rFonts w:ascii="Arial" w:hAnsi="Arial" w:cs="Arial"/>
          <w:lang w:val="en-US"/>
        </w:rPr>
        <w:t xml:space="preserve"> Dussault, G., Franceschini, M. (2006). Not enough there, too many here: understanding geographical imbalances in the distribution of the health workforce. </w:t>
      </w:r>
      <w:r w:rsidRPr="003435C1">
        <w:rPr>
          <w:rFonts w:ascii="Arial" w:hAnsi="Arial" w:cs="Arial"/>
          <w:i/>
          <w:lang w:val="en-US"/>
        </w:rPr>
        <w:t>Human Resources for Health</w:t>
      </w:r>
      <w:r w:rsidRPr="003435C1">
        <w:rPr>
          <w:rFonts w:ascii="Arial" w:hAnsi="Arial" w:cs="Arial"/>
          <w:lang w:val="en-US"/>
        </w:rPr>
        <w:t>, vol. 4 (12), pp. 1-16.</w:t>
      </w:r>
    </w:p>
  </w:footnote>
  <w:footnote w:id="97">
    <w:p w14:paraId="658FAE78" w14:textId="77777777" w:rsidR="00CF252E" w:rsidRPr="005B44CA" w:rsidRDefault="00CF252E" w:rsidP="005B44CA">
      <w:pPr>
        <w:pStyle w:val="Textonotapie"/>
        <w:rPr>
          <w:lang w:val="en-US"/>
        </w:rPr>
      </w:pPr>
      <w:r w:rsidRPr="003435C1">
        <w:rPr>
          <w:rStyle w:val="Refdenotaalpie"/>
          <w:rFonts w:ascii="Arial" w:hAnsi="Arial" w:cs="Arial"/>
        </w:rPr>
        <w:footnoteRef/>
      </w:r>
      <w:r w:rsidRPr="003435C1">
        <w:rPr>
          <w:rFonts w:ascii="Arial" w:hAnsi="Arial" w:cs="Arial"/>
          <w:lang w:val="en-US"/>
        </w:rPr>
        <w:t xml:space="preserve"> </w:t>
      </w:r>
      <w:r w:rsidRPr="003435C1">
        <w:rPr>
          <w:rFonts w:ascii="Arial" w:hAnsi="Arial" w:cs="Arial"/>
          <w:i/>
          <w:lang w:val="en-US"/>
        </w:rPr>
        <w:t>Ibídem</w:t>
      </w:r>
      <w:r w:rsidRPr="003435C1">
        <w:rPr>
          <w:rFonts w:ascii="Arial" w:hAnsi="Arial" w:cs="Arial"/>
          <w:lang w:val="en-US"/>
        </w:rPr>
        <w:t>.</w:t>
      </w:r>
    </w:p>
  </w:footnote>
  <w:footnote w:id="98">
    <w:p w14:paraId="5425121A" w14:textId="77777777" w:rsidR="00CF252E" w:rsidRPr="001472B8" w:rsidRDefault="00CF252E" w:rsidP="00F12B1B">
      <w:pPr>
        <w:pStyle w:val="Textonotapie"/>
        <w:ind w:left="227" w:hanging="227"/>
        <w:rPr>
          <w:rFonts w:ascii="Arial" w:hAnsi="Arial" w:cs="Arial"/>
        </w:rPr>
      </w:pPr>
      <w:r w:rsidRPr="003435C1">
        <w:rPr>
          <w:rStyle w:val="Refdenotaalpie"/>
          <w:rFonts w:ascii="Arial" w:hAnsi="Arial" w:cs="Arial"/>
        </w:rPr>
        <w:footnoteRef/>
      </w:r>
      <w:r w:rsidRPr="003435C1">
        <w:rPr>
          <w:rFonts w:ascii="Arial" w:hAnsi="Arial" w:cs="Arial"/>
          <w:lang w:val="en-US"/>
        </w:rPr>
        <w:t xml:space="preserve"> Ruelas, E., Alonso, A. (2015). </w:t>
      </w:r>
      <w:r w:rsidRPr="003435C1">
        <w:rPr>
          <w:rFonts w:ascii="Arial" w:hAnsi="Arial" w:cs="Arial"/>
        </w:rPr>
        <w:t xml:space="preserve">Imágenes generales sobre la posible evolución futura de las especialidades médicas. En </w:t>
      </w:r>
      <w:r w:rsidRPr="003435C1">
        <w:rPr>
          <w:rFonts w:ascii="Arial" w:hAnsi="Arial" w:cs="Arial"/>
          <w:i/>
        </w:rPr>
        <w:t>Futuros de las especialidades médicas en México</w:t>
      </w:r>
      <w:r w:rsidRPr="003435C1">
        <w:rPr>
          <w:rFonts w:ascii="Arial" w:hAnsi="Arial" w:cs="Arial"/>
        </w:rPr>
        <w:t xml:space="preserve"> (pp. 105-122). E. Ruelas y A. Alonso (Eds.); Academia Nacional de Medicina de México y Consejo Nacional de Ciencia y Tecnología de México; Ciudad de México.</w:t>
      </w:r>
    </w:p>
  </w:footnote>
  <w:footnote w:id="99">
    <w:p w14:paraId="2D34477D" w14:textId="77777777" w:rsidR="00CF252E" w:rsidRPr="003435C1" w:rsidRDefault="00CF252E" w:rsidP="00F12B1B">
      <w:pPr>
        <w:pStyle w:val="Textonotapie"/>
        <w:ind w:left="227" w:hanging="227"/>
        <w:rPr>
          <w:rFonts w:ascii="Arial" w:hAnsi="Arial" w:cs="Arial"/>
        </w:rPr>
      </w:pPr>
      <w:r w:rsidRPr="001472B8">
        <w:rPr>
          <w:rStyle w:val="Refdenotaalpie"/>
          <w:rFonts w:ascii="Arial" w:hAnsi="Arial" w:cs="Arial"/>
        </w:rPr>
        <w:footnoteRef/>
      </w:r>
      <w:r w:rsidRPr="001472B8">
        <w:rPr>
          <w:rFonts w:ascii="Arial" w:hAnsi="Arial" w:cs="Arial"/>
        </w:rPr>
        <w:t xml:space="preserve"> </w:t>
      </w:r>
      <w:r w:rsidRPr="003435C1">
        <w:rPr>
          <w:rFonts w:ascii="Arial" w:hAnsi="Arial" w:cs="Arial"/>
        </w:rPr>
        <w:t>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100">
    <w:p w14:paraId="49A74A4C" w14:textId="77777777" w:rsidR="00CF252E" w:rsidRPr="003435C1" w:rsidRDefault="00CF252E" w:rsidP="00F12B1B">
      <w:pPr>
        <w:pStyle w:val="Textonotapie"/>
        <w:ind w:left="227" w:hanging="227"/>
        <w:rPr>
          <w:rFonts w:ascii="Arial" w:hAnsi="Arial" w:cs="Arial"/>
        </w:rPr>
      </w:pPr>
      <w:r w:rsidRPr="003435C1">
        <w:rPr>
          <w:rStyle w:val="Refdenotaalpie"/>
          <w:rFonts w:ascii="Arial" w:hAnsi="Arial" w:cs="Arial"/>
        </w:rPr>
        <w:footnoteRef/>
      </w:r>
      <w:r w:rsidRPr="003435C1">
        <w:rPr>
          <w:rFonts w:ascii="Arial" w:hAnsi="Arial" w:cs="Arial"/>
        </w:rPr>
        <w:t xml:space="preserve"> INEGI (2019a). </w:t>
      </w:r>
      <w:r w:rsidRPr="003435C1">
        <w:rPr>
          <w:rFonts w:ascii="Arial" w:hAnsi="Arial" w:cs="Arial"/>
          <w:i/>
        </w:rPr>
        <w:t>Encuesta Nacional de Ocupación y Empleo (ENOE), 4to trimestre de 2018</w:t>
      </w:r>
      <w:r w:rsidRPr="003435C1">
        <w:rPr>
          <w:rFonts w:ascii="Arial" w:hAnsi="Arial" w:cs="Arial"/>
        </w:rPr>
        <w:t>. Consultado el 26/03/2019 de https://www.inegi.org.mx/programas/enoe/15ymas/default.html</w:t>
      </w:r>
    </w:p>
  </w:footnote>
  <w:footnote w:id="101">
    <w:p w14:paraId="31DA0ED1" w14:textId="77777777" w:rsidR="00CF252E" w:rsidRPr="003435C1" w:rsidRDefault="00CF252E" w:rsidP="00F12B1B">
      <w:pPr>
        <w:pStyle w:val="Textonotapie"/>
        <w:ind w:left="227" w:hanging="227"/>
        <w:rPr>
          <w:rFonts w:ascii="Arial" w:hAnsi="Arial" w:cs="Arial"/>
        </w:rPr>
      </w:pPr>
      <w:r w:rsidRPr="003435C1">
        <w:rPr>
          <w:rStyle w:val="Refdenotaalpie"/>
          <w:rFonts w:ascii="Arial" w:hAnsi="Arial" w:cs="Arial"/>
        </w:rPr>
        <w:footnoteRef/>
      </w:r>
      <w:r w:rsidRPr="003435C1">
        <w:rPr>
          <w:rFonts w:ascii="Arial" w:hAnsi="Arial" w:cs="Arial"/>
        </w:rPr>
        <w:t xml:space="preserve"> Nigenda, G., Alcalde, J., González, L., Serván, E., García, S., Lozano, R. (2016). Eficiencia de los recursos humanos en salud: una aproximación a su análisis en México. </w:t>
      </w:r>
      <w:r w:rsidRPr="003435C1">
        <w:rPr>
          <w:rFonts w:ascii="Arial" w:hAnsi="Arial" w:cs="Arial"/>
          <w:i/>
        </w:rPr>
        <w:t>Salud Pública de México</w:t>
      </w:r>
      <w:r w:rsidRPr="003435C1">
        <w:rPr>
          <w:rFonts w:ascii="Arial" w:hAnsi="Arial" w:cs="Arial"/>
        </w:rPr>
        <w:t>, vol. 58 (5), pp. 533-542.</w:t>
      </w:r>
    </w:p>
  </w:footnote>
  <w:footnote w:id="102">
    <w:p w14:paraId="15772D2A" w14:textId="77777777" w:rsidR="00CF252E" w:rsidRPr="003435C1" w:rsidRDefault="00CF252E" w:rsidP="00F12B1B">
      <w:pPr>
        <w:pStyle w:val="Textonotapie"/>
        <w:ind w:left="227" w:hanging="227"/>
        <w:rPr>
          <w:rFonts w:ascii="Arial" w:hAnsi="Arial" w:cs="Arial"/>
        </w:rPr>
      </w:pPr>
      <w:r w:rsidRPr="003435C1">
        <w:rPr>
          <w:rStyle w:val="Refdenotaalpie"/>
          <w:rFonts w:ascii="Arial" w:hAnsi="Arial" w:cs="Arial"/>
        </w:rPr>
        <w:footnoteRef/>
      </w:r>
      <w:r w:rsidRPr="003435C1">
        <w:rPr>
          <w:rFonts w:ascii="Arial" w:hAnsi="Arial" w:cs="Arial"/>
        </w:rPr>
        <w:t xml:space="preserve"> Hernández, E., Solís, R., Stefanovich, A. (2012). Análisis del equilibrio entre oferta y demanda de profesionistas en el período 2001-2009. En </w:t>
      </w:r>
      <w:r w:rsidRPr="003435C1">
        <w:rPr>
          <w:rFonts w:ascii="Arial" w:hAnsi="Arial" w:cs="Arial"/>
          <w:i/>
        </w:rPr>
        <w:t>Mercado laboral de profesionistas en México. Diagnóstico (2000-2009) y prospectiva (2010-2020)</w:t>
      </w:r>
      <w:r w:rsidRPr="003435C1">
        <w:rPr>
          <w:rFonts w:ascii="Arial" w:hAnsi="Arial" w:cs="Arial"/>
        </w:rPr>
        <w:t xml:space="preserve"> (pp. 251-267), E. Hernández (Coord.). Asociación Nacional de Universidades e Instituciones de Educación Superior; Ciudad de México. </w:t>
      </w:r>
    </w:p>
  </w:footnote>
  <w:footnote w:id="103">
    <w:p w14:paraId="180C5171" w14:textId="77777777" w:rsidR="00CF252E" w:rsidRPr="001472B8" w:rsidRDefault="00CF252E" w:rsidP="005B44CA">
      <w:pPr>
        <w:pStyle w:val="Textonotapie"/>
        <w:rPr>
          <w:rFonts w:ascii="Arial" w:hAnsi="Arial" w:cs="Arial"/>
        </w:rPr>
      </w:pPr>
      <w:r w:rsidRPr="003435C1">
        <w:rPr>
          <w:rStyle w:val="Refdenotaalpie"/>
          <w:rFonts w:ascii="Arial" w:hAnsi="Arial" w:cs="Arial"/>
        </w:rPr>
        <w:footnoteRef/>
      </w:r>
      <w:r w:rsidRPr="003435C1">
        <w:rPr>
          <w:rFonts w:ascii="Arial" w:hAnsi="Arial" w:cs="Arial"/>
        </w:rPr>
        <w:t xml:space="preserve"> INEGI (2019a), </w:t>
      </w:r>
      <w:r w:rsidRPr="003435C1">
        <w:rPr>
          <w:rFonts w:ascii="Arial" w:hAnsi="Arial" w:cs="Arial"/>
          <w:i/>
        </w:rPr>
        <w:t>op. cit.</w:t>
      </w:r>
      <w:r w:rsidRPr="003435C1">
        <w:rPr>
          <w:rFonts w:ascii="Arial" w:hAnsi="Arial" w:cs="Arial"/>
        </w:rPr>
        <w:t>, s.p.</w:t>
      </w:r>
    </w:p>
  </w:footnote>
  <w:footnote w:id="104">
    <w:p w14:paraId="2B9D23D5" w14:textId="77777777" w:rsidR="00CF252E" w:rsidRPr="00390486" w:rsidRDefault="00CF252E" w:rsidP="005B44CA">
      <w:pPr>
        <w:pStyle w:val="Textonotapie"/>
        <w:rPr>
          <w:rFonts w:ascii="Arial" w:hAnsi="Arial" w:cs="Arial"/>
        </w:rPr>
      </w:pPr>
      <w:r w:rsidRPr="00390486">
        <w:rPr>
          <w:rStyle w:val="Refdenotaalpie"/>
          <w:rFonts w:ascii="Arial" w:hAnsi="Arial" w:cs="Arial"/>
        </w:rPr>
        <w:footnoteRef/>
      </w:r>
      <w:r w:rsidRPr="00390486">
        <w:rPr>
          <w:rFonts w:ascii="Arial" w:hAnsi="Arial" w:cs="Arial"/>
        </w:rPr>
        <w:t xml:space="preserve"> </w:t>
      </w:r>
      <w:r w:rsidRPr="00390486">
        <w:rPr>
          <w:rFonts w:ascii="Arial" w:hAnsi="Arial" w:cs="Arial"/>
          <w:i/>
        </w:rPr>
        <w:t>Ibídem</w:t>
      </w:r>
      <w:r w:rsidRPr="00390486">
        <w:rPr>
          <w:rFonts w:ascii="Arial" w:hAnsi="Arial" w:cs="Arial"/>
        </w:rPr>
        <w:t>.</w:t>
      </w:r>
    </w:p>
  </w:footnote>
  <w:footnote w:id="105">
    <w:p w14:paraId="46747CAB" w14:textId="77777777" w:rsidR="00CF252E" w:rsidRPr="00390486" w:rsidRDefault="00CF252E" w:rsidP="005B44CA">
      <w:pPr>
        <w:pStyle w:val="Textonotapie"/>
        <w:rPr>
          <w:rFonts w:ascii="Arial" w:hAnsi="Arial" w:cs="Arial"/>
        </w:rPr>
      </w:pPr>
      <w:r w:rsidRPr="00390486">
        <w:rPr>
          <w:rStyle w:val="Refdenotaalpie"/>
          <w:rFonts w:ascii="Arial" w:hAnsi="Arial" w:cs="Arial"/>
        </w:rPr>
        <w:footnoteRef/>
      </w:r>
      <w:r w:rsidRPr="00390486">
        <w:rPr>
          <w:rFonts w:ascii="Arial" w:hAnsi="Arial" w:cs="Arial"/>
        </w:rPr>
        <w:t xml:space="preserve"> </w:t>
      </w:r>
      <w:r w:rsidRPr="00390486">
        <w:rPr>
          <w:rFonts w:ascii="Arial" w:hAnsi="Arial" w:cs="Arial"/>
          <w:i/>
        </w:rPr>
        <w:t>Ibídem</w:t>
      </w:r>
      <w:r w:rsidRPr="00390486">
        <w:rPr>
          <w:rFonts w:ascii="Arial" w:hAnsi="Arial" w:cs="Arial"/>
        </w:rPr>
        <w:t>.</w:t>
      </w:r>
    </w:p>
  </w:footnote>
  <w:footnote w:id="106">
    <w:p w14:paraId="5731D843" w14:textId="21979DD8" w:rsidR="00CF252E" w:rsidRDefault="00CF252E" w:rsidP="00F12B1B">
      <w:pPr>
        <w:pStyle w:val="Textonotapie"/>
        <w:ind w:left="227" w:hanging="227"/>
      </w:pPr>
      <w:r w:rsidRPr="00560437">
        <w:rPr>
          <w:rStyle w:val="Refdenotaalpie"/>
          <w:rFonts w:ascii="Arial" w:hAnsi="Arial" w:cs="Arial"/>
        </w:rPr>
        <w:footnoteRef/>
      </w:r>
      <w:r>
        <w:t xml:space="preserve"> </w:t>
      </w:r>
      <w:r w:rsidRPr="003435C1">
        <w:rPr>
          <w:rFonts w:ascii="Arial" w:hAnsi="Arial" w:cs="Arial"/>
        </w:rPr>
        <w:t xml:space="preserve">Instituto Nacional de Salud Pública (2017). </w:t>
      </w:r>
      <w:r w:rsidRPr="003435C1">
        <w:rPr>
          <w:rFonts w:ascii="Arial" w:hAnsi="Arial" w:cs="Arial"/>
          <w:i/>
        </w:rPr>
        <w:t xml:space="preserve">Brechas en la disponibilidad de médicos y enfermeras especialistas en el sistema nacional de salud. </w:t>
      </w:r>
      <w:r w:rsidRPr="003435C1">
        <w:rPr>
          <w:rFonts w:ascii="Arial" w:hAnsi="Arial" w:cs="Arial"/>
        </w:rPr>
        <w:t>México. [En línea]. http://www.cifrhs.salud.gob.mx/site1/residencias/brechas_medico_enf_esp.pdf [Consulta el 14 de diciembre de 2018].</w:t>
      </w:r>
    </w:p>
  </w:footnote>
  <w:footnote w:id="107">
    <w:p w14:paraId="3175B83C" w14:textId="35DE3E90" w:rsidR="00CF252E" w:rsidRDefault="00CF252E" w:rsidP="00F12B1B">
      <w:pPr>
        <w:pStyle w:val="Textonotapie"/>
        <w:ind w:left="227" w:hanging="227"/>
      </w:pPr>
      <w:r w:rsidRPr="003435C1">
        <w:rPr>
          <w:rStyle w:val="Refdenotaalpie"/>
          <w:rFonts w:ascii="Arial" w:hAnsi="Arial" w:cs="Arial"/>
        </w:rPr>
        <w:footnoteRef/>
      </w:r>
      <w:r w:rsidRPr="003435C1">
        <w:rPr>
          <w:rFonts w:ascii="Arial" w:hAnsi="Arial" w:cs="Arial"/>
        </w:rPr>
        <w:t xml:space="preserve"> Fajardo, G. </w:t>
      </w:r>
      <w:r w:rsidRPr="003435C1">
        <w:rPr>
          <w:rFonts w:ascii="Arial" w:hAnsi="Arial" w:cs="Arial"/>
          <w:i/>
        </w:rPr>
        <w:t xml:space="preserve">et al. </w:t>
      </w:r>
      <w:r w:rsidRPr="003435C1">
        <w:rPr>
          <w:rFonts w:ascii="Arial" w:hAnsi="Arial" w:cs="Arial"/>
        </w:rPr>
        <w:t xml:space="preserve">(2015). </w:t>
      </w:r>
      <w:r w:rsidRPr="003435C1">
        <w:rPr>
          <w:rFonts w:ascii="Arial" w:hAnsi="Arial" w:cs="Arial"/>
          <w:i/>
        </w:rPr>
        <w:t xml:space="preserve">La formación de médicos especialistas en México. </w:t>
      </w:r>
      <w:r w:rsidRPr="003435C1">
        <w:rPr>
          <w:rFonts w:ascii="Arial" w:hAnsi="Arial" w:cs="Arial"/>
        </w:rPr>
        <w:t>México: Academia Nacional de Medicina.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33535" w14:textId="0E5918E3" w:rsidR="00CF252E" w:rsidRDefault="00CF252E" w:rsidP="007F2637">
    <w:pPr>
      <w:pStyle w:val="Encabezado"/>
      <w:tabs>
        <w:tab w:val="clear" w:pos="4419"/>
        <w:tab w:val="clear" w:pos="8838"/>
        <w:tab w:val="left" w:pos="1311"/>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A6C6430"/>
    <w:multiLevelType w:val="hybridMultilevel"/>
    <w:tmpl w:val="CB1EBE70"/>
    <w:lvl w:ilvl="0" w:tplc="690EAC92">
      <w:start w:val="1"/>
      <w:numFmt w:val="decimal"/>
      <w:lvlText w:val="%1)"/>
      <w:lvlJc w:val="left"/>
      <w:pPr>
        <w:ind w:left="2055" w:hanging="169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0"/>
  </w:num>
  <w:num w:numId="4">
    <w:abstractNumId w:val="2"/>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7A8"/>
    <w:rsid w:val="00006613"/>
    <w:rsid w:val="000072F7"/>
    <w:rsid w:val="00024903"/>
    <w:rsid w:val="00025AAE"/>
    <w:rsid w:val="00026FDE"/>
    <w:rsid w:val="00027BC6"/>
    <w:rsid w:val="000369A6"/>
    <w:rsid w:val="00041E44"/>
    <w:rsid w:val="00047ED0"/>
    <w:rsid w:val="00053DB1"/>
    <w:rsid w:val="00056961"/>
    <w:rsid w:val="0005744D"/>
    <w:rsid w:val="00063193"/>
    <w:rsid w:val="0007056C"/>
    <w:rsid w:val="00071E6F"/>
    <w:rsid w:val="00075C3B"/>
    <w:rsid w:val="00076724"/>
    <w:rsid w:val="00081B45"/>
    <w:rsid w:val="00082F49"/>
    <w:rsid w:val="000832E9"/>
    <w:rsid w:val="00093CD0"/>
    <w:rsid w:val="00094B9E"/>
    <w:rsid w:val="000A5F5C"/>
    <w:rsid w:val="000A626E"/>
    <w:rsid w:val="000B7BD1"/>
    <w:rsid w:val="000C239E"/>
    <w:rsid w:val="000D35A1"/>
    <w:rsid w:val="000E18B4"/>
    <w:rsid w:val="000E19B0"/>
    <w:rsid w:val="000E4DEE"/>
    <w:rsid w:val="000F4E6C"/>
    <w:rsid w:val="000F5270"/>
    <w:rsid w:val="0011232C"/>
    <w:rsid w:val="00112F1F"/>
    <w:rsid w:val="00127A25"/>
    <w:rsid w:val="00141799"/>
    <w:rsid w:val="00143352"/>
    <w:rsid w:val="00143F9A"/>
    <w:rsid w:val="001472B8"/>
    <w:rsid w:val="001535BB"/>
    <w:rsid w:val="00153EB1"/>
    <w:rsid w:val="00161A59"/>
    <w:rsid w:val="00167C0E"/>
    <w:rsid w:val="001705C1"/>
    <w:rsid w:val="0017130C"/>
    <w:rsid w:val="0017424F"/>
    <w:rsid w:val="001764E1"/>
    <w:rsid w:val="00184227"/>
    <w:rsid w:val="0019648E"/>
    <w:rsid w:val="001A1AED"/>
    <w:rsid w:val="001B5C0D"/>
    <w:rsid w:val="001C305E"/>
    <w:rsid w:val="001C4F2A"/>
    <w:rsid w:val="001D1A17"/>
    <w:rsid w:val="001D6464"/>
    <w:rsid w:val="001E1643"/>
    <w:rsid w:val="001E1A7D"/>
    <w:rsid w:val="001E3EDD"/>
    <w:rsid w:val="001F2D93"/>
    <w:rsid w:val="001F7017"/>
    <w:rsid w:val="00200D27"/>
    <w:rsid w:val="0022093B"/>
    <w:rsid w:val="0022194C"/>
    <w:rsid w:val="0022276C"/>
    <w:rsid w:val="002247B4"/>
    <w:rsid w:val="00226B76"/>
    <w:rsid w:val="002409D1"/>
    <w:rsid w:val="00245744"/>
    <w:rsid w:val="00251196"/>
    <w:rsid w:val="00255E84"/>
    <w:rsid w:val="0026331C"/>
    <w:rsid w:val="00264172"/>
    <w:rsid w:val="0026455A"/>
    <w:rsid w:val="00265088"/>
    <w:rsid w:val="00265A7D"/>
    <w:rsid w:val="002703BE"/>
    <w:rsid w:val="0027422F"/>
    <w:rsid w:val="002832EC"/>
    <w:rsid w:val="00283358"/>
    <w:rsid w:val="00284D5A"/>
    <w:rsid w:val="002853F8"/>
    <w:rsid w:val="002969C7"/>
    <w:rsid w:val="002A00F2"/>
    <w:rsid w:val="002A23A3"/>
    <w:rsid w:val="002A2B5F"/>
    <w:rsid w:val="002A68B0"/>
    <w:rsid w:val="002A69DE"/>
    <w:rsid w:val="002B1539"/>
    <w:rsid w:val="002B6765"/>
    <w:rsid w:val="002B7417"/>
    <w:rsid w:val="002C0500"/>
    <w:rsid w:val="002C3B99"/>
    <w:rsid w:val="002C56F7"/>
    <w:rsid w:val="002C5A07"/>
    <w:rsid w:val="002D0E04"/>
    <w:rsid w:val="002D3538"/>
    <w:rsid w:val="002E1464"/>
    <w:rsid w:val="002E4264"/>
    <w:rsid w:val="002E614E"/>
    <w:rsid w:val="002F4293"/>
    <w:rsid w:val="002F73A8"/>
    <w:rsid w:val="00303396"/>
    <w:rsid w:val="00305A47"/>
    <w:rsid w:val="003136C8"/>
    <w:rsid w:val="0032015E"/>
    <w:rsid w:val="00330BA9"/>
    <w:rsid w:val="00333BD8"/>
    <w:rsid w:val="00333C17"/>
    <w:rsid w:val="00336BCF"/>
    <w:rsid w:val="0034209C"/>
    <w:rsid w:val="003435C1"/>
    <w:rsid w:val="00344BD2"/>
    <w:rsid w:val="003547E4"/>
    <w:rsid w:val="0036094B"/>
    <w:rsid w:val="00367379"/>
    <w:rsid w:val="00372484"/>
    <w:rsid w:val="00375806"/>
    <w:rsid w:val="00376C57"/>
    <w:rsid w:val="003806C1"/>
    <w:rsid w:val="00382164"/>
    <w:rsid w:val="003828EF"/>
    <w:rsid w:val="00390486"/>
    <w:rsid w:val="00392B35"/>
    <w:rsid w:val="003A0CA3"/>
    <w:rsid w:val="003B0C89"/>
    <w:rsid w:val="003B3BB4"/>
    <w:rsid w:val="003B69F3"/>
    <w:rsid w:val="003C0D23"/>
    <w:rsid w:val="003C233F"/>
    <w:rsid w:val="003C287F"/>
    <w:rsid w:val="003C7AF5"/>
    <w:rsid w:val="003D2BA3"/>
    <w:rsid w:val="003D4962"/>
    <w:rsid w:val="003E1A49"/>
    <w:rsid w:val="003E547C"/>
    <w:rsid w:val="003F316D"/>
    <w:rsid w:val="003F407C"/>
    <w:rsid w:val="003F54FE"/>
    <w:rsid w:val="003F7E8C"/>
    <w:rsid w:val="00400088"/>
    <w:rsid w:val="004017B6"/>
    <w:rsid w:val="004039CD"/>
    <w:rsid w:val="00410931"/>
    <w:rsid w:val="00410A88"/>
    <w:rsid w:val="00412EB8"/>
    <w:rsid w:val="004322CB"/>
    <w:rsid w:val="004357A8"/>
    <w:rsid w:val="004361ED"/>
    <w:rsid w:val="004468C6"/>
    <w:rsid w:val="00453AAE"/>
    <w:rsid w:val="00456F45"/>
    <w:rsid w:val="00461369"/>
    <w:rsid w:val="004727D4"/>
    <w:rsid w:val="00474BD7"/>
    <w:rsid w:val="00475201"/>
    <w:rsid w:val="004852A3"/>
    <w:rsid w:val="004905C4"/>
    <w:rsid w:val="004A107D"/>
    <w:rsid w:val="004A128F"/>
    <w:rsid w:val="004A1D76"/>
    <w:rsid w:val="004A504F"/>
    <w:rsid w:val="004C364E"/>
    <w:rsid w:val="004C3683"/>
    <w:rsid w:val="004C3DC5"/>
    <w:rsid w:val="004C7871"/>
    <w:rsid w:val="004E4CD6"/>
    <w:rsid w:val="004F6C7B"/>
    <w:rsid w:val="0050349E"/>
    <w:rsid w:val="005264B6"/>
    <w:rsid w:val="005276CE"/>
    <w:rsid w:val="00530B9F"/>
    <w:rsid w:val="005440BF"/>
    <w:rsid w:val="005441D1"/>
    <w:rsid w:val="0055035B"/>
    <w:rsid w:val="00552393"/>
    <w:rsid w:val="00556024"/>
    <w:rsid w:val="00556771"/>
    <w:rsid w:val="00560437"/>
    <w:rsid w:val="005637EE"/>
    <w:rsid w:val="005720A7"/>
    <w:rsid w:val="005770F2"/>
    <w:rsid w:val="00577F0A"/>
    <w:rsid w:val="00583666"/>
    <w:rsid w:val="00590928"/>
    <w:rsid w:val="00593C12"/>
    <w:rsid w:val="005968A3"/>
    <w:rsid w:val="00596B13"/>
    <w:rsid w:val="005A27A1"/>
    <w:rsid w:val="005A570B"/>
    <w:rsid w:val="005A6A6C"/>
    <w:rsid w:val="005B29FD"/>
    <w:rsid w:val="005B44CA"/>
    <w:rsid w:val="005B4C39"/>
    <w:rsid w:val="005B6CA1"/>
    <w:rsid w:val="005F2BC5"/>
    <w:rsid w:val="005F4031"/>
    <w:rsid w:val="005F5BC1"/>
    <w:rsid w:val="00603BE8"/>
    <w:rsid w:val="006046FB"/>
    <w:rsid w:val="006054B0"/>
    <w:rsid w:val="00606030"/>
    <w:rsid w:val="00615EF2"/>
    <w:rsid w:val="00631577"/>
    <w:rsid w:val="00635921"/>
    <w:rsid w:val="0063664A"/>
    <w:rsid w:val="00636985"/>
    <w:rsid w:val="00645D73"/>
    <w:rsid w:val="00645DA0"/>
    <w:rsid w:val="00650A99"/>
    <w:rsid w:val="00650FF6"/>
    <w:rsid w:val="00655A07"/>
    <w:rsid w:val="0065778B"/>
    <w:rsid w:val="00657A9A"/>
    <w:rsid w:val="006667D9"/>
    <w:rsid w:val="00683D86"/>
    <w:rsid w:val="0068458F"/>
    <w:rsid w:val="00684A82"/>
    <w:rsid w:val="00694704"/>
    <w:rsid w:val="006A0F5B"/>
    <w:rsid w:val="006A6281"/>
    <w:rsid w:val="006A7CFA"/>
    <w:rsid w:val="006D1C86"/>
    <w:rsid w:val="006D227A"/>
    <w:rsid w:val="006E69B6"/>
    <w:rsid w:val="006E7C0A"/>
    <w:rsid w:val="006F43FD"/>
    <w:rsid w:val="00706600"/>
    <w:rsid w:val="0071010C"/>
    <w:rsid w:val="00710849"/>
    <w:rsid w:val="00711DC5"/>
    <w:rsid w:val="007131A5"/>
    <w:rsid w:val="00715A54"/>
    <w:rsid w:val="007170D9"/>
    <w:rsid w:val="00725113"/>
    <w:rsid w:val="007303EC"/>
    <w:rsid w:val="007362F8"/>
    <w:rsid w:val="007407E4"/>
    <w:rsid w:val="00741132"/>
    <w:rsid w:val="0076036F"/>
    <w:rsid w:val="00775C00"/>
    <w:rsid w:val="007B7468"/>
    <w:rsid w:val="007C0B53"/>
    <w:rsid w:val="007D48C4"/>
    <w:rsid w:val="007D75B0"/>
    <w:rsid w:val="007E1312"/>
    <w:rsid w:val="007E678C"/>
    <w:rsid w:val="007F0A09"/>
    <w:rsid w:val="007F172D"/>
    <w:rsid w:val="007F2637"/>
    <w:rsid w:val="007F2968"/>
    <w:rsid w:val="007F6365"/>
    <w:rsid w:val="007F65B6"/>
    <w:rsid w:val="00806008"/>
    <w:rsid w:val="00806FC7"/>
    <w:rsid w:val="00811ECA"/>
    <w:rsid w:val="00813A8D"/>
    <w:rsid w:val="00814AFB"/>
    <w:rsid w:val="008216E3"/>
    <w:rsid w:val="0082403C"/>
    <w:rsid w:val="008266B7"/>
    <w:rsid w:val="00831454"/>
    <w:rsid w:val="00831EF0"/>
    <w:rsid w:val="008363BA"/>
    <w:rsid w:val="00837CCA"/>
    <w:rsid w:val="00841353"/>
    <w:rsid w:val="00865212"/>
    <w:rsid w:val="008733C1"/>
    <w:rsid w:val="00885643"/>
    <w:rsid w:val="0089066F"/>
    <w:rsid w:val="008A01CD"/>
    <w:rsid w:val="008A08A7"/>
    <w:rsid w:val="008B38E4"/>
    <w:rsid w:val="008C1FD6"/>
    <w:rsid w:val="008C4983"/>
    <w:rsid w:val="008D27F5"/>
    <w:rsid w:val="008D368C"/>
    <w:rsid w:val="008E007C"/>
    <w:rsid w:val="008E3000"/>
    <w:rsid w:val="008E4D2C"/>
    <w:rsid w:val="008F2BD5"/>
    <w:rsid w:val="008F5974"/>
    <w:rsid w:val="009025AA"/>
    <w:rsid w:val="009026BB"/>
    <w:rsid w:val="00905371"/>
    <w:rsid w:val="009145A0"/>
    <w:rsid w:val="00917EDF"/>
    <w:rsid w:val="00920C03"/>
    <w:rsid w:val="0092117C"/>
    <w:rsid w:val="00935B01"/>
    <w:rsid w:val="00936774"/>
    <w:rsid w:val="009467EE"/>
    <w:rsid w:val="009471D5"/>
    <w:rsid w:val="00947C39"/>
    <w:rsid w:val="00954059"/>
    <w:rsid w:val="009604E3"/>
    <w:rsid w:val="00961CD1"/>
    <w:rsid w:val="009663D0"/>
    <w:rsid w:val="00994730"/>
    <w:rsid w:val="009A2D7F"/>
    <w:rsid w:val="009B0692"/>
    <w:rsid w:val="009B3D47"/>
    <w:rsid w:val="009B4BAA"/>
    <w:rsid w:val="009B7DF5"/>
    <w:rsid w:val="009C5BC9"/>
    <w:rsid w:val="009C76FA"/>
    <w:rsid w:val="009D00E1"/>
    <w:rsid w:val="009D182F"/>
    <w:rsid w:val="009D3081"/>
    <w:rsid w:val="009F3190"/>
    <w:rsid w:val="009F3C46"/>
    <w:rsid w:val="009F3CA1"/>
    <w:rsid w:val="009F4E8E"/>
    <w:rsid w:val="00A0348F"/>
    <w:rsid w:val="00A21EAA"/>
    <w:rsid w:val="00A330B8"/>
    <w:rsid w:val="00A34CFE"/>
    <w:rsid w:val="00A40A9E"/>
    <w:rsid w:val="00A458A8"/>
    <w:rsid w:val="00A530B8"/>
    <w:rsid w:val="00A53AF4"/>
    <w:rsid w:val="00A54C4D"/>
    <w:rsid w:val="00A56019"/>
    <w:rsid w:val="00A56C18"/>
    <w:rsid w:val="00A732A1"/>
    <w:rsid w:val="00A74D3F"/>
    <w:rsid w:val="00A75077"/>
    <w:rsid w:val="00A7554D"/>
    <w:rsid w:val="00A83698"/>
    <w:rsid w:val="00A87809"/>
    <w:rsid w:val="00A909D5"/>
    <w:rsid w:val="00A95E81"/>
    <w:rsid w:val="00AA24F9"/>
    <w:rsid w:val="00AA44B6"/>
    <w:rsid w:val="00AA5FA1"/>
    <w:rsid w:val="00AB37A8"/>
    <w:rsid w:val="00AB51CF"/>
    <w:rsid w:val="00AC75EE"/>
    <w:rsid w:val="00AD1CDD"/>
    <w:rsid w:val="00AD5B52"/>
    <w:rsid w:val="00AD6133"/>
    <w:rsid w:val="00AD7EC7"/>
    <w:rsid w:val="00AE5EC3"/>
    <w:rsid w:val="00AE72B5"/>
    <w:rsid w:val="00AF1127"/>
    <w:rsid w:val="00AF2FC2"/>
    <w:rsid w:val="00B0344A"/>
    <w:rsid w:val="00B0528C"/>
    <w:rsid w:val="00B052C1"/>
    <w:rsid w:val="00B117DF"/>
    <w:rsid w:val="00B12CF9"/>
    <w:rsid w:val="00B1790F"/>
    <w:rsid w:val="00B207D0"/>
    <w:rsid w:val="00B25185"/>
    <w:rsid w:val="00B32696"/>
    <w:rsid w:val="00B350E5"/>
    <w:rsid w:val="00B418B4"/>
    <w:rsid w:val="00B47C41"/>
    <w:rsid w:val="00B525E9"/>
    <w:rsid w:val="00B6268C"/>
    <w:rsid w:val="00B65400"/>
    <w:rsid w:val="00B7170A"/>
    <w:rsid w:val="00B71FFC"/>
    <w:rsid w:val="00B80906"/>
    <w:rsid w:val="00B833EB"/>
    <w:rsid w:val="00B872BB"/>
    <w:rsid w:val="00B90293"/>
    <w:rsid w:val="00B97C2A"/>
    <w:rsid w:val="00BB02F7"/>
    <w:rsid w:val="00BB1313"/>
    <w:rsid w:val="00BB156F"/>
    <w:rsid w:val="00BB522B"/>
    <w:rsid w:val="00BB6B78"/>
    <w:rsid w:val="00BB7A5C"/>
    <w:rsid w:val="00BC0BFD"/>
    <w:rsid w:val="00BC1C54"/>
    <w:rsid w:val="00BC5126"/>
    <w:rsid w:val="00BD052E"/>
    <w:rsid w:val="00BD160E"/>
    <w:rsid w:val="00BE0125"/>
    <w:rsid w:val="00BE74B7"/>
    <w:rsid w:val="00BF11B2"/>
    <w:rsid w:val="00C04120"/>
    <w:rsid w:val="00C07062"/>
    <w:rsid w:val="00C150F3"/>
    <w:rsid w:val="00C3138B"/>
    <w:rsid w:val="00C4058E"/>
    <w:rsid w:val="00C53D08"/>
    <w:rsid w:val="00C55B9E"/>
    <w:rsid w:val="00C56D65"/>
    <w:rsid w:val="00C7513D"/>
    <w:rsid w:val="00C751CA"/>
    <w:rsid w:val="00C80D67"/>
    <w:rsid w:val="00C84F5B"/>
    <w:rsid w:val="00C87899"/>
    <w:rsid w:val="00CA2FC5"/>
    <w:rsid w:val="00CA61C8"/>
    <w:rsid w:val="00CB0602"/>
    <w:rsid w:val="00CB55C7"/>
    <w:rsid w:val="00CC1CD9"/>
    <w:rsid w:val="00CC2B32"/>
    <w:rsid w:val="00CC305A"/>
    <w:rsid w:val="00CC5AA9"/>
    <w:rsid w:val="00CC6713"/>
    <w:rsid w:val="00CD01E8"/>
    <w:rsid w:val="00CD282B"/>
    <w:rsid w:val="00CD4325"/>
    <w:rsid w:val="00CE4425"/>
    <w:rsid w:val="00CE6011"/>
    <w:rsid w:val="00CF252E"/>
    <w:rsid w:val="00CF7FEB"/>
    <w:rsid w:val="00D037C1"/>
    <w:rsid w:val="00D12EE8"/>
    <w:rsid w:val="00D21B8C"/>
    <w:rsid w:val="00D23750"/>
    <w:rsid w:val="00D27BBB"/>
    <w:rsid w:val="00D33FF0"/>
    <w:rsid w:val="00D4730B"/>
    <w:rsid w:val="00D57F9D"/>
    <w:rsid w:val="00D6078D"/>
    <w:rsid w:val="00D62550"/>
    <w:rsid w:val="00D62B0B"/>
    <w:rsid w:val="00D725E8"/>
    <w:rsid w:val="00D77A89"/>
    <w:rsid w:val="00D77E3E"/>
    <w:rsid w:val="00D77FF4"/>
    <w:rsid w:val="00D91DE2"/>
    <w:rsid w:val="00D95763"/>
    <w:rsid w:val="00DA1375"/>
    <w:rsid w:val="00DB4549"/>
    <w:rsid w:val="00DB4EE3"/>
    <w:rsid w:val="00DF277F"/>
    <w:rsid w:val="00DF4B71"/>
    <w:rsid w:val="00E026C7"/>
    <w:rsid w:val="00E06CD6"/>
    <w:rsid w:val="00E10CB3"/>
    <w:rsid w:val="00E10DBF"/>
    <w:rsid w:val="00E10EFC"/>
    <w:rsid w:val="00E1171A"/>
    <w:rsid w:val="00E1329F"/>
    <w:rsid w:val="00E13458"/>
    <w:rsid w:val="00E14942"/>
    <w:rsid w:val="00E21FF4"/>
    <w:rsid w:val="00E32CED"/>
    <w:rsid w:val="00E353AA"/>
    <w:rsid w:val="00E37EF9"/>
    <w:rsid w:val="00E4327A"/>
    <w:rsid w:val="00E4488F"/>
    <w:rsid w:val="00E4792E"/>
    <w:rsid w:val="00E55780"/>
    <w:rsid w:val="00E56FD1"/>
    <w:rsid w:val="00E62E3D"/>
    <w:rsid w:val="00E63425"/>
    <w:rsid w:val="00E72653"/>
    <w:rsid w:val="00E858F2"/>
    <w:rsid w:val="00E90A9E"/>
    <w:rsid w:val="00E9230A"/>
    <w:rsid w:val="00E92B53"/>
    <w:rsid w:val="00EA3DF1"/>
    <w:rsid w:val="00EB1FA3"/>
    <w:rsid w:val="00EB3F82"/>
    <w:rsid w:val="00EC14ED"/>
    <w:rsid w:val="00EC4708"/>
    <w:rsid w:val="00EC598D"/>
    <w:rsid w:val="00ED1E77"/>
    <w:rsid w:val="00ED22C8"/>
    <w:rsid w:val="00ED6A2D"/>
    <w:rsid w:val="00EE1EA3"/>
    <w:rsid w:val="00EE48E5"/>
    <w:rsid w:val="00EE7462"/>
    <w:rsid w:val="00EE7491"/>
    <w:rsid w:val="00EF0499"/>
    <w:rsid w:val="00EF1338"/>
    <w:rsid w:val="00F0130A"/>
    <w:rsid w:val="00F0135F"/>
    <w:rsid w:val="00F02449"/>
    <w:rsid w:val="00F060ED"/>
    <w:rsid w:val="00F06CE0"/>
    <w:rsid w:val="00F110FE"/>
    <w:rsid w:val="00F12B1B"/>
    <w:rsid w:val="00F16767"/>
    <w:rsid w:val="00F24081"/>
    <w:rsid w:val="00F24825"/>
    <w:rsid w:val="00F24CE2"/>
    <w:rsid w:val="00F260F1"/>
    <w:rsid w:val="00F325F4"/>
    <w:rsid w:val="00F34041"/>
    <w:rsid w:val="00F34405"/>
    <w:rsid w:val="00F34C2E"/>
    <w:rsid w:val="00F360AA"/>
    <w:rsid w:val="00F365F3"/>
    <w:rsid w:val="00F36A25"/>
    <w:rsid w:val="00F4347F"/>
    <w:rsid w:val="00F64152"/>
    <w:rsid w:val="00F65085"/>
    <w:rsid w:val="00F675D6"/>
    <w:rsid w:val="00F67D2F"/>
    <w:rsid w:val="00F75DA8"/>
    <w:rsid w:val="00F819D5"/>
    <w:rsid w:val="00F84BC2"/>
    <w:rsid w:val="00F8627B"/>
    <w:rsid w:val="00F87234"/>
    <w:rsid w:val="00F91681"/>
    <w:rsid w:val="00F92AA1"/>
    <w:rsid w:val="00F9539F"/>
    <w:rsid w:val="00FA08CE"/>
    <w:rsid w:val="00FA6F7B"/>
    <w:rsid w:val="00FB0E65"/>
    <w:rsid w:val="00FB1C38"/>
    <w:rsid w:val="00FB4190"/>
    <w:rsid w:val="00FB575C"/>
    <w:rsid w:val="00FC657C"/>
    <w:rsid w:val="00FD3A0E"/>
    <w:rsid w:val="00FF317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9C1DC0"/>
  <w15:docId w15:val="{75C43F3A-D08F-4212-AC52-36089C75B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styleId="Encabezado">
    <w:name w:val="header"/>
    <w:basedOn w:val="Normal"/>
    <w:link w:val="Encabezado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EncabezadoCar">
    <w:name w:val="Encabezado Car"/>
    <w:basedOn w:val="Fuentedeprrafopredeter"/>
    <w:link w:val="Encabezado"/>
    <w:uiPriority w:val="99"/>
    <w:rsid w:val="007F2637"/>
    <w:rPr>
      <w:rFonts w:ascii="Calibri" w:hAnsi="Calibri" w:cs="Times New Roman"/>
    </w:rPr>
  </w:style>
  <w:style w:type="paragraph" w:styleId="Piedepgina">
    <w:name w:val="footer"/>
    <w:basedOn w:val="Normal"/>
    <w:link w:val="Piedepgina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PiedepginaCar">
    <w:name w:val="Pie de página Car"/>
    <w:basedOn w:val="Fuentedeprrafopredeter"/>
    <w:link w:val="Piedepgina"/>
    <w:uiPriority w:val="99"/>
    <w:rsid w:val="007F2637"/>
    <w:rPr>
      <w:rFonts w:ascii="Calibri" w:hAnsi="Calibri" w:cs="Times New Roman"/>
    </w:rPr>
  </w:style>
  <w:style w:type="character" w:customStyle="1" w:styleId="Hipervnculo1">
    <w:name w:val="Hipervínculo1"/>
    <w:basedOn w:val="Fuentedeprrafopredeter"/>
    <w:uiPriority w:val="99"/>
    <w:unhideWhenUsed/>
    <w:rsid w:val="007F2637"/>
    <w:rPr>
      <w:color w:val="0000FF"/>
      <w:u w:val="single"/>
    </w:rPr>
  </w:style>
  <w:style w:type="paragraph" w:styleId="Textodeglobo">
    <w:name w:val="Balloon Text"/>
    <w:basedOn w:val="Normal"/>
    <w:link w:val="TextodegloboCar"/>
    <w:uiPriority w:val="99"/>
    <w:semiHidden/>
    <w:unhideWhenUsed/>
    <w:rsid w:val="007F26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F2637"/>
    <w:rPr>
      <w:rFonts w:ascii="Tahoma" w:hAnsi="Tahoma" w:cs="Tahoma"/>
      <w:sz w:val="16"/>
      <w:szCs w:val="16"/>
    </w:rPr>
  </w:style>
  <w:style w:type="paragraph" w:customStyle="1" w:styleId="Texto">
    <w:name w:val="Texto"/>
    <w:basedOn w:val="Normal"/>
    <w:link w:val="TextoCar"/>
    <w:rsid w:val="00CE6011"/>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CE6011"/>
    <w:rPr>
      <w:rFonts w:ascii="Arial" w:eastAsia="Times New Roman" w:hAnsi="Arial" w:cs="Arial"/>
      <w:sz w:val="18"/>
      <w:szCs w:val="18"/>
      <w:lang w:val="es-ES" w:eastAsia="es-ES"/>
    </w:rPr>
  </w:style>
  <w:style w:type="table" w:styleId="Tablaconcuadrcula">
    <w:name w:val="Table Grid"/>
    <w:basedOn w:val="Tablanormal"/>
    <w:uiPriority w:val="39"/>
    <w:rsid w:val="00A458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C1CD9"/>
    <w:pPr>
      <w:autoSpaceDE w:val="0"/>
      <w:autoSpaceDN w:val="0"/>
      <w:adjustRightInd w:val="0"/>
      <w:spacing w:after="0" w:line="240" w:lineRule="auto"/>
    </w:pPr>
    <w:rPr>
      <w:rFonts w:ascii="Arial" w:hAnsi="Arial" w:cs="Arial"/>
      <w:color w:val="000000"/>
      <w:sz w:val="24"/>
      <w:szCs w:val="24"/>
    </w:rPr>
  </w:style>
  <w:style w:type="paragraph" w:styleId="Sinespaciado">
    <w:name w:val="No Spacing"/>
    <w:uiPriority w:val="1"/>
    <w:qFormat/>
    <w:rsid w:val="00920C0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880947188">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29637424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 w:id="1895653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chart" Target="charts/chart7.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chart" Target="charts/chart14.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5.png"/><Relationship Id="rId25" Type="http://schemas.openxmlformats.org/officeDocument/2006/relationships/chart" Target="charts/chart6.xml"/><Relationship Id="rId33" Type="http://schemas.openxmlformats.org/officeDocument/2006/relationships/chart" Target="charts/chart13.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5.xml"/><Relationship Id="rId32" Type="http://schemas.openxmlformats.org/officeDocument/2006/relationships/chart" Target="charts/chart12.xml"/><Relationship Id="rId37" Type="http://schemas.openxmlformats.org/officeDocument/2006/relationships/chart" Target="charts/chart17.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chart" Target="charts/chart4.xml"/><Relationship Id="rId28" Type="http://schemas.openxmlformats.org/officeDocument/2006/relationships/image" Target="media/image11.png"/><Relationship Id="rId36" Type="http://schemas.openxmlformats.org/officeDocument/2006/relationships/chart" Target="charts/chart16.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chart" Target="charts/chart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hart" Target="charts/chart3.xml"/><Relationship Id="rId22" Type="http://schemas.openxmlformats.org/officeDocument/2006/relationships/image" Target="media/image10.png"/><Relationship Id="rId27" Type="http://schemas.openxmlformats.org/officeDocument/2006/relationships/chart" Target="charts/chart8.xml"/><Relationship Id="rId30" Type="http://schemas.openxmlformats.org/officeDocument/2006/relationships/chart" Target="charts/chart10.xml"/><Relationship Id="rId35" Type="http://schemas.openxmlformats.org/officeDocument/2006/relationships/chart" Target="charts/chart15.xml"/></Relationships>
</file>

<file path=word/charts/_rels/chart1.xml.rels><?xml version="1.0" encoding="UTF-8" standalone="yes"?>
<Relationships xmlns="http://schemas.openxmlformats.org/package/2006/relationships"><Relationship Id="rId1" Type="http://schemas.openxmlformats.org/officeDocument/2006/relationships/oleObject" Target="file:///D:\Users\ad014629\Downloads\pob_mit_proyecciones%20(2).csv"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ad014629\Documents\envejecimiento_CDMX.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ad014629\Documents\morbilidad_2017.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1.xml"/><Relationship Id="rId1" Type="http://schemas.microsoft.com/office/2011/relationships/chartStyle" Target="style1.xml"/></Relationships>
</file>

<file path=word/charts/_rels/chart5.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2.xml"/><Relationship Id="rId1" Type="http://schemas.microsoft.com/office/2011/relationships/chartStyle" Target="style2.xml"/></Relationships>
</file>

<file path=word/charts/_rels/chart6.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3.xml"/><Relationship Id="rId1" Type="http://schemas.microsoft.com/office/2011/relationships/chartStyle" Target="style3.xml"/></Relationships>
</file>

<file path=word/charts/_rels/chart7.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4.xml"/><Relationship Id="rId1" Type="http://schemas.microsoft.com/office/2011/relationships/chartStyle" Target="style4.xml"/></Relationships>
</file>

<file path=word/charts/_rels/chart8.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5.xml"/><Relationship Id="rId1" Type="http://schemas.microsoft.com/office/2011/relationships/chartStyle" Target="style5.xml"/></Relationships>
</file>

<file path=word/charts/_rels/chart9.xml.rels><?xml version="1.0" encoding="UTF-8" standalone="yes"?>
<Relationships xmlns="http://schemas.openxmlformats.org/package/2006/relationships"><Relationship Id="rId1" Type="http://schemas.openxmlformats.org/officeDocument/2006/relationships/oleObject" Target="file:///D:\Users\ad014629\Downloads\DP_LIVE_15032019000600520.csv"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11.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6.xml"/><Relationship Id="rId1" Type="http://schemas.microsoft.com/office/2011/relationships/chartStyle" Target="style6.xml"/></Relationships>
</file>

<file path=word/charts/_rels/chart1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https://lasallemx-my.sharepoint.com/personal/jessica_zaragoza_lasalle_mx/Documents/Documents/Facultades/Facultad%20Mexicana%20de%20Medicina/2018/Especialidades/Anestesiologia/Busqueda%20cuantitativa%20Esp%20Anestesio.XLS" TargetMode="External"/><Relationship Id="rId2" Type="http://schemas.microsoft.com/office/2011/relationships/chartColorStyle" Target="colors7.xml"/><Relationship Id="rId1" Type="http://schemas.microsoft.com/office/2011/relationships/chartStyle" Target="style7.xml"/></Relationships>
</file>

<file path=word/charts/_rels/chart16.xml.rels><?xml version="1.0" encoding="UTF-8" standalone="yes"?>
<Relationships xmlns="http://schemas.openxmlformats.org/package/2006/relationships"><Relationship Id="rId1" Type="http://schemas.openxmlformats.org/officeDocument/2006/relationships/oleObject" Target="https://lasallemx-my.sharepoint.com/personal/jessica_zaragoza_lasalle_mx/Documents/Documents/Facultades/Facultad%20Mexicana%20de%20Medicina/2018/Especialidades/Anestesiologia/Busqueda%20cuantitativa%20Esp%20Anestesio.XLS" TargetMode="External"/></Relationships>
</file>

<file path=word/charts/_rels/chart17.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8.xml"/><Relationship Id="rId1" Type="http://schemas.microsoft.com/office/2011/relationships/chartStyle" Target="styl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B00E-4B8A-ABEA-998BDF931380}"/>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B00E-4B8A-ABEA-998BDF931380}"/>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B00E-4B8A-ABEA-998BDF931380}"/>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B00E-4B8A-ABEA-998BDF931380}"/>
            </c:ext>
          </c:extLst>
        </c:ser>
        <c:dLbls>
          <c:showLegendKey val="0"/>
          <c:showVal val="0"/>
          <c:showCatName val="0"/>
          <c:showSerName val="0"/>
          <c:showPercent val="0"/>
          <c:showBubbleSize val="0"/>
        </c:dLbls>
        <c:gapWidth val="0"/>
        <c:overlap val="100"/>
        <c:axId val="196821376"/>
        <c:axId val="196822912"/>
      </c:barChart>
      <c:catAx>
        <c:axId val="19682137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6822912"/>
        <c:crosses val="autoZero"/>
        <c:auto val="1"/>
        <c:lblAlgn val="ctr"/>
        <c:lblOffset val="100"/>
        <c:noMultiLvlLbl val="0"/>
      </c:catAx>
      <c:valAx>
        <c:axId val="19682291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682137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A29E-4D33-890D-333569F6D518}"/>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A29E-4D33-890D-333569F6D518}"/>
            </c:ext>
          </c:extLst>
        </c:ser>
        <c:dLbls>
          <c:showLegendKey val="0"/>
          <c:showVal val="0"/>
          <c:showCatName val="0"/>
          <c:showSerName val="0"/>
          <c:showPercent val="0"/>
          <c:showBubbleSize val="0"/>
        </c:dLbls>
        <c:gapWidth val="0"/>
        <c:overlap val="100"/>
        <c:axId val="196843008"/>
        <c:axId val="196844544"/>
      </c:barChart>
      <c:catAx>
        <c:axId val="19684300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6844544"/>
        <c:crosses val="autoZero"/>
        <c:auto val="1"/>
        <c:lblAlgn val="ctr"/>
        <c:lblOffset val="100"/>
        <c:noMultiLvlLbl val="0"/>
      </c:catAx>
      <c:valAx>
        <c:axId val="19684454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684300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5BE4-4E62-A2DE-835217EA4F10}"/>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5BE4-4E62-A2DE-835217EA4F10}"/>
            </c:ext>
          </c:extLst>
        </c:ser>
        <c:dLbls>
          <c:showLegendKey val="0"/>
          <c:showVal val="0"/>
          <c:showCatName val="0"/>
          <c:showSerName val="0"/>
          <c:showPercent val="0"/>
          <c:showBubbleSize val="0"/>
        </c:dLbls>
        <c:gapWidth val="0"/>
        <c:overlap val="100"/>
        <c:axId val="196852352"/>
        <c:axId val="196854144"/>
      </c:barChart>
      <c:catAx>
        <c:axId val="1968523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6854144"/>
        <c:crosses val="autoZero"/>
        <c:auto val="1"/>
        <c:lblAlgn val="ctr"/>
        <c:lblOffset val="100"/>
        <c:noMultiLvlLbl val="0"/>
      </c:catAx>
      <c:valAx>
        <c:axId val="19685414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685235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07A8-4FB6-AF41-0CCB062F3731}"/>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07A8-4FB6-AF41-0CCB062F3731}"/>
            </c:ext>
          </c:extLst>
        </c:ser>
        <c:dLbls>
          <c:showLegendKey val="0"/>
          <c:showVal val="0"/>
          <c:showCatName val="0"/>
          <c:showSerName val="0"/>
          <c:showPercent val="0"/>
          <c:showBubbleSize val="0"/>
        </c:dLbls>
        <c:smooth val="0"/>
        <c:axId val="441487824"/>
        <c:axId val="441487264"/>
      </c:lineChart>
      <c:catAx>
        <c:axId val="44148782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1487264"/>
        <c:crosses val="autoZero"/>
        <c:auto val="1"/>
        <c:lblAlgn val="ctr"/>
        <c:lblOffset val="100"/>
        <c:noMultiLvlLbl val="0"/>
      </c:catAx>
      <c:valAx>
        <c:axId val="44148726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148782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E1A0-48E5-9FF1-DD4159279575}"/>
              </c:ext>
            </c:extLst>
          </c:dPt>
          <c:dPt>
            <c:idx val="25"/>
            <c:invertIfNegative val="0"/>
            <c:bubble3D val="0"/>
            <c:spPr>
              <a:solidFill>
                <a:srgbClr val="00B050"/>
              </a:solidFill>
              <a:ln>
                <a:noFill/>
              </a:ln>
              <a:effectLst/>
            </c:spPr>
            <c:extLst>
              <c:ext xmlns:c16="http://schemas.microsoft.com/office/drawing/2014/chart" uri="{C3380CC4-5D6E-409C-BE32-E72D297353CC}">
                <c16:uniqueId val="{00000003-E1A0-48E5-9FF1-DD4159279575}"/>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1A0-48E5-9FF1-DD4159279575}"/>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1A0-48E5-9FF1-DD415927957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E1A0-48E5-9FF1-DD4159279575}"/>
            </c:ext>
          </c:extLst>
        </c:ser>
        <c:dLbls>
          <c:showLegendKey val="0"/>
          <c:showVal val="0"/>
          <c:showCatName val="0"/>
          <c:showSerName val="0"/>
          <c:showPercent val="0"/>
          <c:showBubbleSize val="0"/>
        </c:dLbls>
        <c:gapWidth val="90"/>
        <c:overlap val="50"/>
        <c:axId val="441480544"/>
        <c:axId val="441482224"/>
      </c:barChart>
      <c:catAx>
        <c:axId val="44148054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1482224"/>
        <c:crosses val="autoZero"/>
        <c:auto val="1"/>
        <c:lblAlgn val="ctr"/>
        <c:lblOffset val="100"/>
        <c:noMultiLvlLbl val="0"/>
      </c:catAx>
      <c:valAx>
        <c:axId val="441482224"/>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148054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5E17-423F-9A0A-4CF3F6B22AE4}"/>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5E17-423F-9A0A-4CF3F6B22AE4}"/>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5E17-423F-9A0A-4CF3F6B22AE4}"/>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Anestesiología!$J$62:$J$64</c:f>
              <c:strCache>
                <c:ptCount val="3"/>
                <c:pt idx="0">
                  <c:v>Diagnóstico</c:v>
                </c:pt>
                <c:pt idx="1">
                  <c:v>Quirúrgico</c:v>
                </c:pt>
                <c:pt idx="2">
                  <c:v>Terapéutico</c:v>
                </c:pt>
              </c:strCache>
            </c:strRef>
          </c:cat>
          <c:val>
            <c:numRef>
              <c:f>Anestesiología!$K$62:$K$64</c:f>
              <c:numCache>
                <c:formatCode>0%</c:formatCode>
                <c:ptCount val="3"/>
                <c:pt idx="0">
                  <c:v>4.2855296070754223E-2</c:v>
                </c:pt>
                <c:pt idx="1">
                  <c:v>0.81699762097651207</c:v>
                </c:pt>
                <c:pt idx="2">
                  <c:v>0.14009747327655409</c:v>
                </c:pt>
              </c:numCache>
            </c:numRef>
          </c:val>
          <c:extLst>
            <c:ext xmlns:c16="http://schemas.microsoft.com/office/drawing/2014/chart" uri="{C3380CC4-5D6E-409C-BE32-E72D297353CC}">
              <c16:uniqueId val="{00000006-5E17-423F-9A0A-4CF3F6B22AE4}"/>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1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A2F0-4C36-86BC-3C8C4127C851}"/>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A2F0-4C36-86BC-3C8C4127C851}"/>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A2F0-4C36-86BC-3C8C4127C851}"/>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A2F0-4C36-86BC-3C8C4127C851}"/>
              </c:ext>
            </c:extLst>
          </c:dPt>
          <c:dPt>
            <c:idx val="4"/>
            <c:bubble3D val="0"/>
            <c:spPr>
              <a:gradFill>
                <a:gsLst>
                  <a:gs pos="100000">
                    <a:schemeClr val="accent5">
                      <a:lumMod val="60000"/>
                      <a:lumOff val="40000"/>
                    </a:schemeClr>
                  </a:gs>
                  <a:gs pos="0">
                    <a:schemeClr val="accent5"/>
                  </a:gs>
                </a:gsLst>
                <a:lin ang="5400000" scaled="0"/>
              </a:gradFill>
              <a:ln w="19050">
                <a:solidFill>
                  <a:schemeClr val="lt1"/>
                </a:solidFill>
              </a:ln>
              <a:effectLst/>
            </c:spPr>
            <c:extLst>
              <c:ext xmlns:c16="http://schemas.microsoft.com/office/drawing/2014/chart" uri="{C3380CC4-5D6E-409C-BE32-E72D297353CC}">
                <c16:uniqueId val="{00000009-A2F0-4C36-86BC-3C8C4127C851}"/>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Anestesiología!$K$53:$K$57</c:f>
              <c:strCache>
                <c:ptCount val="5"/>
                <c:pt idx="0">
                  <c:v>Regional</c:v>
                </c:pt>
                <c:pt idx="1">
                  <c:v>Local</c:v>
                </c:pt>
                <c:pt idx="2">
                  <c:v>General</c:v>
                </c:pt>
                <c:pt idx="3">
                  <c:v>Sedación</c:v>
                </c:pt>
                <c:pt idx="4">
                  <c:v>Combinada</c:v>
                </c:pt>
              </c:strCache>
            </c:strRef>
          </c:cat>
          <c:val>
            <c:numRef>
              <c:f>Anestesiología!$L$53:$L$57</c:f>
              <c:numCache>
                <c:formatCode>_-* #,##0_-;\-* #,##0_-;_-* "-"??_-;_-@_-</c:formatCode>
                <c:ptCount val="5"/>
                <c:pt idx="0">
                  <c:v>941689</c:v>
                </c:pt>
                <c:pt idx="1">
                  <c:v>432755</c:v>
                </c:pt>
                <c:pt idx="2">
                  <c:v>272786</c:v>
                </c:pt>
                <c:pt idx="3">
                  <c:v>56577</c:v>
                </c:pt>
                <c:pt idx="4">
                  <c:v>30030</c:v>
                </c:pt>
              </c:numCache>
            </c:numRef>
          </c:val>
          <c:extLst>
            <c:ext xmlns:c16="http://schemas.microsoft.com/office/drawing/2014/chart" uri="{C3380CC4-5D6E-409C-BE32-E72D297353CC}">
              <c16:uniqueId val="{0000000A-A2F0-4C36-86BC-3C8C4127C851}"/>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1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Cirugías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Cirugia!$F$35:$F$57</c:f>
              <c:numCache>
                <c:formatCode>_-* #,##0_-;\-* #,##0_-;_-* "-"??_-;_-@_-</c:formatCode>
                <c:ptCount val="23"/>
                <c:pt idx="0">
                  <c:v>2805441</c:v>
                </c:pt>
                <c:pt idx="1">
                  <c:v>2860350</c:v>
                </c:pt>
                <c:pt idx="2">
                  <c:v>2870520</c:v>
                </c:pt>
                <c:pt idx="3">
                  <c:v>2926438</c:v>
                </c:pt>
                <c:pt idx="4">
                  <c:v>3008827</c:v>
                </c:pt>
                <c:pt idx="5">
                  <c:v>3130293</c:v>
                </c:pt>
                <c:pt idx="6">
                  <c:v>3155748</c:v>
                </c:pt>
                <c:pt idx="7">
                  <c:v>3199698</c:v>
                </c:pt>
                <c:pt idx="8">
                  <c:v>3395058</c:v>
                </c:pt>
                <c:pt idx="9">
                  <c:v>3424559</c:v>
                </c:pt>
                <c:pt idx="10">
                  <c:v>3477324</c:v>
                </c:pt>
                <c:pt idx="11">
                  <c:v>3618534</c:v>
                </c:pt>
                <c:pt idx="12">
                  <c:v>3637048</c:v>
                </c:pt>
                <c:pt idx="13">
                  <c:v>3648620</c:v>
                </c:pt>
                <c:pt idx="14">
                  <c:v>3711827</c:v>
                </c:pt>
                <c:pt idx="15">
                  <c:v>3610747</c:v>
                </c:pt>
                <c:pt idx="16">
                  <c:v>3718272</c:v>
                </c:pt>
              </c:numCache>
            </c:numRef>
          </c:val>
          <c:smooth val="0"/>
          <c:extLst>
            <c:ext xmlns:c16="http://schemas.microsoft.com/office/drawing/2014/chart" uri="{C3380CC4-5D6E-409C-BE32-E72D297353CC}">
              <c16:uniqueId val="{00000000-4178-4712-AFA5-87FC51306819}"/>
            </c:ext>
          </c:extLst>
        </c:ser>
        <c:ser>
          <c:idx val="1"/>
          <c:order val="1"/>
          <c:tx>
            <c:v>Pronóstico</c:v>
          </c:tx>
          <c:spPr>
            <a:ln w="63500" cap="rnd">
              <a:solidFill>
                <a:schemeClr val="bg2">
                  <a:lumMod val="75000"/>
                </a:schemeClr>
              </a:solidFill>
              <a:round/>
            </a:ln>
            <a:effectLst/>
          </c:spPr>
          <c:marker>
            <c:symbol val="circle"/>
            <c:size val="6"/>
            <c:spPr>
              <a:solidFill>
                <a:schemeClr val="lt1"/>
              </a:solidFill>
              <a:ln w="15875">
                <a:solidFill>
                  <a:schemeClr val="accent2"/>
                </a:solidFill>
                <a:round/>
              </a:ln>
              <a:effectLst/>
            </c:spPr>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Cirugia!$G$35:$G$57</c:f>
              <c:numCache>
                <c:formatCode>General</c:formatCode>
                <c:ptCount val="23"/>
                <c:pt idx="16" formatCode="_-* #,##0_-;\-* #,##0_-;_-* &quot;-&quot;??_-;_-@_-">
                  <c:v>3718272</c:v>
                </c:pt>
                <c:pt idx="17" formatCode="_-* #,##0_-;\-* #,##0_-;_-* &quot;-&quot;??_-;_-@_-">
                  <c:v>3798949.4155252497</c:v>
                </c:pt>
                <c:pt idx="18" formatCode="_-* #,##0_-;\-* #,##0_-;_-* &quot;-&quot;??_-;_-@_-">
                  <c:v>3824864.1392149283</c:v>
                </c:pt>
                <c:pt idx="19" formatCode="_-* #,##0_-;\-* #,##0_-;_-* &quot;-&quot;??_-;_-@_-">
                  <c:v>3855629.6392149283</c:v>
                </c:pt>
                <c:pt idx="20" formatCode="_-* #,##0_-;\-* #,##0_-;_-* &quot;-&quot;??_-;_-@_-">
                  <c:v>3883242.1392149283</c:v>
                </c:pt>
                <c:pt idx="21" formatCode="_-* #,##0_-;\-* #,##0_-;_-* &quot;-&quot;??_-;_-@_-">
                  <c:v>3907701.6392149283</c:v>
                </c:pt>
                <c:pt idx="22" formatCode="_-* #,##0_-;\-* #,##0_-;_-* &quot;-&quot;??_-;_-@_-">
                  <c:v>3929008.1392149283</c:v>
                </c:pt>
              </c:numCache>
            </c:numRef>
          </c:val>
          <c:smooth val="0"/>
          <c:extLst>
            <c:ext xmlns:c16="http://schemas.microsoft.com/office/drawing/2014/chart" uri="{C3380CC4-5D6E-409C-BE32-E72D297353CC}">
              <c16:uniqueId val="{00000001-4178-4712-AFA5-87FC51306819}"/>
            </c:ext>
          </c:extLst>
        </c:ser>
        <c:ser>
          <c:idx val="2"/>
          <c:order val="2"/>
          <c:tx>
            <c:v>Lim.Inf.</c:v>
          </c:tx>
          <c:spPr>
            <a:ln w="22225" cap="rnd">
              <a:solidFill>
                <a:schemeClr val="tx1"/>
              </a:solidFill>
              <a:prstDash val="dash"/>
              <a:round/>
            </a:ln>
            <a:effectLst/>
          </c:spPr>
          <c:marker>
            <c:symbol val="none"/>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Cirugia!$H$35:$H$57</c:f>
              <c:numCache>
                <c:formatCode>General</c:formatCode>
                <c:ptCount val="23"/>
                <c:pt idx="16" formatCode="_-* #,##0_-;\-* #,##0_-;_-* &quot;-&quot;??_-;_-@_-">
                  <c:v>3718272</c:v>
                </c:pt>
                <c:pt idx="17" formatCode="_-* #,##0_-;\-* #,##0_-;_-* &quot;-&quot;??_-;_-@_-">
                  <c:v>3740813.3251471026</c:v>
                </c:pt>
                <c:pt idx="18" formatCode="_-* #,##0_-;\-* #,##0_-;_-* &quot;-&quot;??_-;_-@_-">
                  <c:v>3755115.9469899707</c:v>
                </c:pt>
                <c:pt idx="19" formatCode="_-* #,##0_-;\-* #,##0_-;_-* &quot;-&quot;??_-;_-@_-">
                  <c:v>3785881.4469899707</c:v>
                </c:pt>
                <c:pt idx="20" formatCode="_-* #,##0_-;\-* #,##0_-;_-* &quot;-&quot;??_-;_-@_-">
                  <c:v>3813493.9469899707</c:v>
                </c:pt>
                <c:pt idx="21" formatCode="_-* #,##0_-;\-* #,##0_-;_-* &quot;-&quot;??_-;_-@_-">
                  <c:v>3837953.4469899707</c:v>
                </c:pt>
                <c:pt idx="22" formatCode="_-* #,##0_-;\-* #,##0_-;_-* &quot;-&quot;??_-;_-@_-">
                  <c:v>3859259.9469899707</c:v>
                </c:pt>
              </c:numCache>
            </c:numRef>
          </c:val>
          <c:smooth val="0"/>
          <c:extLst>
            <c:ext xmlns:c16="http://schemas.microsoft.com/office/drawing/2014/chart" uri="{C3380CC4-5D6E-409C-BE32-E72D297353CC}">
              <c16:uniqueId val="{00000002-4178-4712-AFA5-87FC51306819}"/>
            </c:ext>
          </c:extLst>
        </c:ser>
        <c:ser>
          <c:idx val="3"/>
          <c:order val="3"/>
          <c:tx>
            <c:v>Lim.Sup.</c:v>
          </c:tx>
          <c:spPr>
            <a:ln w="22225" cap="rnd">
              <a:solidFill>
                <a:schemeClr val="tx1"/>
              </a:solidFill>
              <a:prstDash val="dash"/>
              <a:round/>
            </a:ln>
            <a:effectLst/>
          </c:spPr>
          <c:marker>
            <c:symbol val="none"/>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Cirugia!$I$35:$I$57</c:f>
              <c:numCache>
                <c:formatCode>General</c:formatCode>
                <c:ptCount val="23"/>
                <c:pt idx="16" formatCode="_-* #,##0_-;\-* #,##0_-;_-* &quot;-&quot;??_-;_-@_-">
                  <c:v>3718272</c:v>
                </c:pt>
                <c:pt idx="17" formatCode="_-* #,##0_-;\-* #,##0_-;_-* &quot;-&quot;??_-;_-@_-">
                  <c:v>3857085.5059033972</c:v>
                </c:pt>
                <c:pt idx="18" formatCode="_-* #,##0_-;\-* #,##0_-;_-* &quot;-&quot;??_-;_-@_-">
                  <c:v>3894612.3314398858</c:v>
                </c:pt>
                <c:pt idx="19" formatCode="_-* #,##0_-;\-* #,##0_-;_-* &quot;-&quot;??_-;_-@_-">
                  <c:v>3925377.8314398858</c:v>
                </c:pt>
                <c:pt idx="20" formatCode="_-* #,##0_-;\-* #,##0_-;_-* &quot;-&quot;??_-;_-@_-">
                  <c:v>3952990.3314398858</c:v>
                </c:pt>
                <c:pt idx="21" formatCode="_-* #,##0_-;\-* #,##0_-;_-* &quot;-&quot;??_-;_-@_-">
                  <c:v>3977449.8314398858</c:v>
                </c:pt>
                <c:pt idx="22" formatCode="_-* #,##0_-;\-* #,##0_-;_-* &quot;-&quot;??_-;_-@_-">
                  <c:v>3998756.3314398858</c:v>
                </c:pt>
              </c:numCache>
            </c:numRef>
          </c:val>
          <c:smooth val="0"/>
          <c:extLst>
            <c:ext xmlns:c16="http://schemas.microsoft.com/office/drawing/2014/chart" uri="{C3380CC4-5D6E-409C-BE32-E72D297353CC}">
              <c16:uniqueId val="{00000003-4178-4712-AFA5-87FC51306819}"/>
            </c:ext>
          </c:extLst>
        </c:ser>
        <c:ser>
          <c:idx val="4"/>
          <c:order val="4"/>
          <c:tx>
            <c:v>Tendencia</c:v>
          </c:tx>
          <c:spPr>
            <a:ln w="38100" cap="rnd">
              <a:solidFill>
                <a:srgbClr val="C00000"/>
              </a:solidFill>
              <a:round/>
            </a:ln>
            <a:effectLst/>
          </c:spPr>
          <c:marker>
            <c:symbol val="none"/>
          </c:marker>
          <c:cat>
            <c:numRef>
              <c:f>Cirugia!$E$35:$E$57</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Cirugia!$J$35:$J$57</c:f>
              <c:numCache>
                <c:formatCode>_-* #,##0_-;\-* #,##0_-;_-* "-"??_-;_-@_-</c:formatCode>
                <c:ptCount val="23"/>
                <c:pt idx="0">
                  <c:v>2792232.89317847</c:v>
                </c:pt>
                <c:pt idx="1">
                  <c:v>2841073.9951735502</c:v>
                </c:pt>
                <c:pt idx="2">
                  <c:v>2892116.44830555</c:v>
                </c:pt>
                <c:pt idx="3">
                  <c:v>2950774.27118247</c:v>
                </c:pt>
                <c:pt idx="4">
                  <c:v>3018862.0743613802</c:v>
                </c:pt>
                <c:pt idx="5">
                  <c:v>3094138.4232022702</c:v>
                </c:pt>
                <c:pt idx="6">
                  <c:v>3172689.3706715698</c:v>
                </c:pt>
                <c:pt idx="7">
                  <c:v>3256626.7325353301</c:v>
                </c:pt>
                <c:pt idx="8">
                  <c:v>3345238.76278101</c:v>
                </c:pt>
                <c:pt idx="9">
                  <c:v>3428325.59330686</c:v>
                </c:pt>
                <c:pt idx="10">
                  <c:v>3503990.56221426</c:v>
                </c:pt>
                <c:pt idx="11">
                  <c:v>3569709.2420534701</c:v>
                </c:pt>
                <c:pt idx="12">
                  <c:v>3618512.77833906</c:v>
                </c:pt>
                <c:pt idx="13">
                  <c:v>3651569.77624331</c:v>
                </c:pt>
                <c:pt idx="14">
                  <c:v>3673138.0445486801</c:v>
                </c:pt>
                <c:pt idx="15">
                  <c:v>3686983.7626637602</c:v>
                </c:pt>
                <c:pt idx="16">
                  <c:v>3703321.2692390098</c:v>
                </c:pt>
              </c:numCache>
            </c:numRef>
          </c:val>
          <c:smooth val="0"/>
          <c:extLst>
            <c:ext xmlns:c16="http://schemas.microsoft.com/office/drawing/2014/chart" uri="{C3380CC4-5D6E-409C-BE32-E72D297353CC}">
              <c16:uniqueId val="{00000004-4178-4712-AFA5-87FC51306819}"/>
            </c:ext>
          </c:extLst>
        </c:ser>
        <c:dLbls>
          <c:showLegendKey val="0"/>
          <c:showVal val="0"/>
          <c:showCatName val="0"/>
          <c:showSerName val="0"/>
          <c:showPercent val="0"/>
          <c:showBubbleSize val="0"/>
        </c:dLbls>
        <c:marker val="1"/>
        <c:smooth val="0"/>
        <c:axId val="438593904"/>
        <c:axId val="438592224"/>
      </c:lineChart>
      <c:catAx>
        <c:axId val="43859390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8592224"/>
        <c:crosses val="autoZero"/>
        <c:auto val="1"/>
        <c:lblAlgn val="ctr"/>
        <c:lblOffset val="100"/>
        <c:noMultiLvlLbl val="0"/>
      </c:catAx>
      <c:valAx>
        <c:axId val="438592224"/>
        <c:scaling>
          <c:orientation val="minMax"/>
          <c:min val="2500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859390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6701-45D3-83F3-94833A838C2F}"/>
              </c:ext>
            </c:extLst>
          </c:dPt>
          <c:dPt>
            <c:idx val="17"/>
            <c:invertIfNegative val="0"/>
            <c:bubble3D val="0"/>
            <c:spPr>
              <a:solidFill>
                <a:srgbClr val="00B050"/>
              </a:solidFill>
              <a:ln>
                <a:noFill/>
              </a:ln>
              <a:effectLst/>
            </c:spPr>
            <c:extLst>
              <c:ext xmlns:c16="http://schemas.microsoft.com/office/drawing/2014/chart" uri="{C3380CC4-5D6E-409C-BE32-E72D297353CC}">
                <c16:uniqueId val="{00000003-6701-45D3-83F3-94833A838C2F}"/>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701-45D3-83F3-94833A838C2F}"/>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701-45D3-83F3-94833A838C2F}"/>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6701-45D3-83F3-94833A838C2F}"/>
            </c:ext>
          </c:extLst>
        </c:ser>
        <c:dLbls>
          <c:showLegendKey val="0"/>
          <c:showVal val="0"/>
          <c:showCatName val="0"/>
          <c:showSerName val="0"/>
          <c:showPercent val="0"/>
          <c:showBubbleSize val="0"/>
        </c:dLbls>
        <c:gapWidth val="60"/>
        <c:overlap val="100"/>
        <c:axId val="200551424"/>
        <c:axId val="200557312"/>
      </c:barChart>
      <c:catAx>
        <c:axId val="2005514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200557312"/>
        <c:crosses val="autoZero"/>
        <c:auto val="1"/>
        <c:lblAlgn val="ctr"/>
        <c:lblOffset val="100"/>
        <c:noMultiLvlLbl val="0"/>
      </c:catAx>
      <c:valAx>
        <c:axId val="200557312"/>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0055142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3499-4858-934D-DE7A9750A599}"/>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3499-4858-934D-DE7A9750A599}"/>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3499-4858-934D-DE7A9750A599}"/>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3499-4858-934D-DE7A9750A599}"/>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3499-4858-934D-DE7A9750A599}"/>
            </c:ext>
          </c:extLst>
        </c:ser>
        <c:dLbls>
          <c:showLegendKey val="0"/>
          <c:showVal val="0"/>
          <c:showCatName val="0"/>
          <c:showSerName val="0"/>
          <c:showPercent val="0"/>
          <c:showBubbleSize val="0"/>
        </c:dLbls>
        <c:marker val="1"/>
        <c:smooth val="0"/>
        <c:axId val="200600960"/>
        <c:axId val="200680576"/>
      </c:lineChart>
      <c:catAx>
        <c:axId val="20060096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00680576"/>
        <c:crosses val="autoZero"/>
        <c:auto val="1"/>
        <c:lblAlgn val="ctr"/>
        <c:lblOffset val="100"/>
        <c:noMultiLvlLbl val="0"/>
      </c:catAx>
      <c:valAx>
        <c:axId val="200680576"/>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0060096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57150" cap="rnd">
              <a:solidFill>
                <a:schemeClr val="accent1"/>
              </a:solidFill>
              <a:round/>
            </a:ln>
            <a:effectLst/>
          </c:spPr>
          <c:marker>
            <c:symbol val="circle"/>
            <c:size val="8"/>
            <c:spPr>
              <a:solidFill>
                <a:schemeClr val="lt1"/>
              </a:solidFill>
              <a:ln w="15875">
                <a:solidFill>
                  <a:schemeClr val="accent1"/>
                </a:solidFill>
                <a:round/>
              </a:ln>
              <a:effectLst/>
            </c:spPr>
          </c:marker>
          <c:cat>
            <c:numRef>
              <c:f>Hoja1!$A$54:$A$60</c:f>
              <c:numCache>
                <c:formatCode>General</c:formatCode>
                <c:ptCount val="7"/>
                <c:pt idx="0">
                  <c:v>2012</c:v>
                </c:pt>
                <c:pt idx="1">
                  <c:v>2013</c:v>
                </c:pt>
                <c:pt idx="2">
                  <c:v>2014</c:v>
                </c:pt>
                <c:pt idx="3">
                  <c:v>2015</c:v>
                </c:pt>
                <c:pt idx="4">
                  <c:v>2016</c:v>
                </c:pt>
                <c:pt idx="5">
                  <c:v>2017</c:v>
                </c:pt>
                <c:pt idx="6">
                  <c:v>2018</c:v>
                </c:pt>
              </c:numCache>
            </c:numRef>
          </c:cat>
          <c:val>
            <c:numRef>
              <c:f>Hoja1!$B$54:$B$60</c:f>
              <c:numCache>
                <c:formatCode>General</c:formatCode>
                <c:ptCount val="7"/>
                <c:pt idx="0">
                  <c:v>776</c:v>
                </c:pt>
                <c:pt idx="1">
                  <c:v>789</c:v>
                </c:pt>
                <c:pt idx="2">
                  <c:v>801</c:v>
                </c:pt>
                <c:pt idx="3">
                  <c:v>823</c:v>
                </c:pt>
                <c:pt idx="4">
                  <c:v>828</c:v>
                </c:pt>
                <c:pt idx="5">
                  <c:v>930</c:v>
                </c:pt>
                <c:pt idx="6">
                  <c:v>943</c:v>
                </c:pt>
              </c:numCache>
            </c:numRef>
          </c:val>
          <c:smooth val="0"/>
          <c:extLst>
            <c:ext xmlns:c16="http://schemas.microsoft.com/office/drawing/2014/chart" uri="{C3380CC4-5D6E-409C-BE32-E72D297353CC}">
              <c16:uniqueId val="{00000000-FA0D-48AB-8E24-3C6042EE291E}"/>
            </c:ext>
          </c:extLst>
        </c:ser>
        <c:ser>
          <c:idx val="1"/>
          <c:order val="1"/>
          <c:tx>
            <c:v>Tendencia</c:v>
          </c:tx>
          <c:spPr>
            <a:ln w="34925" cap="rnd">
              <a:solidFill>
                <a:srgbClr val="C00000"/>
              </a:solidFill>
              <a:round/>
            </a:ln>
            <a:effectLst/>
          </c:spPr>
          <c:marker>
            <c:symbol val="none"/>
          </c:marker>
          <c:cat>
            <c:numRef>
              <c:f>Hoja1!$A$54:$A$60</c:f>
              <c:numCache>
                <c:formatCode>General</c:formatCode>
                <c:ptCount val="7"/>
                <c:pt idx="0">
                  <c:v>2012</c:v>
                </c:pt>
                <c:pt idx="1">
                  <c:v>2013</c:v>
                </c:pt>
                <c:pt idx="2">
                  <c:v>2014</c:v>
                </c:pt>
                <c:pt idx="3">
                  <c:v>2015</c:v>
                </c:pt>
                <c:pt idx="4">
                  <c:v>2016</c:v>
                </c:pt>
                <c:pt idx="5">
                  <c:v>2017</c:v>
                </c:pt>
                <c:pt idx="6">
                  <c:v>2018</c:v>
                </c:pt>
              </c:numCache>
            </c:numRef>
          </c:cat>
          <c:val>
            <c:numRef>
              <c:f>Hoja1!$C$54:$C$60</c:f>
              <c:numCache>
                <c:formatCode>General</c:formatCode>
                <c:ptCount val="7"/>
                <c:pt idx="0">
                  <c:v>765.28034787355796</c:v>
                </c:pt>
                <c:pt idx="1">
                  <c:v>784.72175314557103</c:v>
                </c:pt>
                <c:pt idx="2">
                  <c:v>805.94976710532501</c:v>
                </c:pt>
                <c:pt idx="3">
                  <c:v>831.46403958296503</c:v>
                </c:pt>
                <c:pt idx="4">
                  <c:v>862.93925922441497</c:v>
                </c:pt>
                <c:pt idx="5">
                  <c:v>900.63944141177103</c:v>
                </c:pt>
                <c:pt idx="6">
                  <c:v>939.00539165639498</c:v>
                </c:pt>
              </c:numCache>
            </c:numRef>
          </c:val>
          <c:smooth val="0"/>
          <c:extLst>
            <c:ext xmlns:c16="http://schemas.microsoft.com/office/drawing/2014/chart" uri="{C3380CC4-5D6E-409C-BE32-E72D297353CC}">
              <c16:uniqueId val="{00000001-FA0D-48AB-8E24-3C6042EE291E}"/>
            </c:ext>
          </c:extLst>
        </c:ser>
        <c:dLbls>
          <c:showLegendKey val="0"/>
          <c:showVal val="0"/>
          <c:showCatName val="0"/>
          <c:showSerName val="0"/>
          <c:showPercent val="0"/>
          <c:showBubbleSize val="0"/>
        </c:dLbls>
        <c:marker val="1"/>
        <c:smooth val="0"/>
        <c:axId val="346336304"/>
        <c:axId val="346333504"/>
      </c:lineChart>
      <c:catAx>
        <c:axId val="34633630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346333504"/>
        <c:crosses val="autoZero"/>
        <c:auto val="1"/>
        <c:lblAlgn val="ctr"/>
        <c:lblOffset val="100"/>
        <c:noMultiLvlLbl val="0"/>
      </c:catAx>
      <c:valAx>
        <c:axId val="346333504"/>
        <c:scaling>
          <c:orientation val="minMax"/>
          <c:min val="70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Anestesiología</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34633630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E9CC-4D30-A1F6-A351AED1400C}"/>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E9CC-4D30-A1F6-A351AED1400C}"/>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E9CC-4D30-A1F6-A351AED1400C}"/>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E9CC-4D30-A1F6-A351AED1400C}"/>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9CC-4D30-A1F6-A351AED1400C}"/>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9CC-4D30-A1F6-A351AED1400C}"/>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9CC-4D30-A1F6-A351AED1400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E9CC-4D30-A1F6-A351AED1400C}"/>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1677-4CC2-9FBE-2FE5A68BA165}"/>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1677-4CC2-9FBE-2FE5A68BA165}"/>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1677-4CC2-9FBE-2FE5A68BA165}"/>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1677-4CC2-9FBE-2FE5A68BA165}"/>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79C0-4680-8264-7BF1AAB5910D}"/>
            </c:ext>
          </c:extLst>
        </c:ser>
        <c:dLbls>
          <c:showLegendKey val="0"/>
          <c:showVal val="0"/>
          <c:showCatName val="0"/>
          <c:showSerName val="0"/>
          <c:showPercent val="0"/>
          <c:showBubbleSize val="0"/>
        </c:dLbls>
        <c:gapWidth val="267"/>
        <c:overlap val="-43"/>
        <c:axId val="214285696"/>
        <c:axId val="214516864"/>
      </c:barChart>
      <c:catAx>
        <c:axId val="21428569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214516864"/>
        <c:crosses val="autoZero"/>
        <c:auto val="1"/>
        <c:lblAlgn val="ctr"/>
        <c:lblOffset val="100"/>
        <c:noMultiLvlLbl val="0"/>
      </c:catAx>
      <c:valAx>
        <c:axId val="21451686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21428569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'Gráficos Especialidades '!$A$48</c:f>
              <c:strCache>
                <c:ptCount val="1"/>
                <c:pt idx="0">
                  <c:v>Ingreso</c:v>
                </c:pt>
              </c:strCache>
            </c:strRef>
          </c:tx>
          <c:spPr>
            <a:ln w="19050" cap="rnd" cmpd="sng" algn="ctr">
              <a:solidFill>
                <a:schemeClr val="accent6"/>
              </a:solidFill>
              <a:prstDash val="solid"/>
              <a:round/>
            </a:ln>
            <a:effectLst/>
          </c:spPr>
          <c:marker>
            <c:symbol val="circle"/>
            <c:size val="7"/>
            <c:spPr>
              <a:solidFill>
                <a:schemeClr val="accent6"/>
              </a:solidFill>
              <a:ln w="6350" cap="flat" cmpd="sng" algn="ctr">
                <a:solidFill>
                  <a:schemeClr val="accent6"/>
                </a:solidFill>
                <a:prstDash val="solid"/>
                <a:round/>
              </a:ln>
              <a:effectLst/>
            </c:spPr>
          </c:marker>
          <c:dLbls>
            <c:dLbl>
              <c:idx val="0"/>
              <c:layout>
                <c:manualLayout>
                  <c:x val="-1.2205300684719804E-2"/>
                  <c:y val="-6.6421369506050182E-2"/>
                </c:manualLayout>
              </c:layout>
              <c:spPr>
                <a:noFill/>
                <a:ln w="25400">
                  <a:noFill/>
                </a:ln>
                <a:effectLst/>
              </c:spPr>
              <c:txPr>
                <a:bodyPr rot="0" spcFirstLastPara="1" vertOverflow="ellipsis" vert="horz" wrap="square" lIns="38100" tIns="19050" rIns="38100" bIns="19050" anchor="ctr" anchorCtr="1">
                  <a:noAutofit/>
                </a:bodyPr>
                <a:lstStyle/>
                <a:p>
                  <a:pPr>
                    <a:defRPr sz="900" b="1" i="0" u="none" strike="noStrike" kern="1200" baseline="0">
                      <a:solidFill>
                        <a:sysClr val="windowText" lastClr="000000"/>
                      </a:solidFill>
                      <a:latin typeface="+mn-lt"/>
                      <a:ea typeface="+mn-ea"/>
                      <a:cs typeface="+mn-cs"/>
                    </a:defRPr>
                  </a:pPr>
                  <a:endParaRPr lang="es-MX"/>
                </a:p>
              </c:txPr>
              <c:dLblPos val="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0-B9B1-43DE-AF13-4D46A670F341}"/>
                </c:ext>
              </c:extLst>
            </c:dLbl>
            <c:dLbl>
              <c:idx val="1"/>
              <c:layout>
                <c:manualLayout>
                  <c:x val="-2.4920906193899981E-17"/>
                  <c:y val="-4.88747267633385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9B1-43DE-AF13-4D46A670F341}"/>
                </c:ext>
              </c:extLst>
            </c:dLbl>
            <c:dLbl>
              <c:idx val="2"/>
              <c:layout>
                <c:manualLayout>
                  <c:x val="-8.1560271542187E-3"/>
                  <c:y val="-6.22041976987945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9B1-43DE-AF13-4D46A670F341}"/>
                </c:ext>
              </c:extLst>
            </c:dLbl>
            <c:dLbl>
              <c:idx val="3"/>
              <c:layout>
                <c:manualLayout>
                  <c:x val="-8.1560271542187E-3"/>
                  <c:y val="-4.88747267633385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9B1-43DE-AF13-4D46A670F341}"/>
                </c:ext>
              </c:extLst>
            </c:dLbl>
            <c:dLbl>
              <c:idx val="4"/>
              <c:layout>
                <c:manualLayout>
                  <c:x val="0"/>
                  <c:y val="-2.22157848924266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9B1-43DE-AF13-4D46A670F341}"/>
                </c:ext>
              </c:extLst>
            </c:dLbl>
            <c:dLbl>
              <c:idx val="5"/>
              <c:layout>
                <c:manualLayout>
                  <c:x val="2.7186757180729E-3"/>
                  <c:y val="2.66589418709117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9B1-43DE-AF13-4D46A670F341}"/>
                </c:ext>
              </c:extLst>
            </c:dLbl>
            <c:dLbl>
              <c:idx val="6"/>
              <c:layout>
                <c:manualLayout>
                  <c:x val="0"/>
                  <c:y val="-2.22157848924265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9B1-43DE-AF13-4D46A670F341}"/>
                </c:ext>
              </c:extLst>
            </c:dLbl>
            <c:spPr>
              <a:noFill/>
              <a:ln w="25400">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'!$B$47:$F$47</c:f>
              <c:numCache>
                <c:formatCode>General</c:formatCode>
                <c:ptCount val="5"/>
                <c:pt idx="0">
                  <c:v>2014</c:v>
                </c:pt>
                <c:pt idx="1">
                  <c:v>2015</c:v>
                </c:pt>
                <c:pt idx="2">
                  <c:v>2016</c:v>
                </c:pt>
                <c:pt idx="3">
                  <c:v>2017</c:v>
                </c:pt>
                <c:pt idx="4">
                  <c:v>2018</c:v>
                </c:pt>
              </c:numCache>
            </c:numRef>
          </c:cat>
          <c:val>
            <c:numRef>
              <c:f>'Gráficos Especialidades '!$B$48:$F$48</c:f>
              <c:numCache>
                <c:formatCode>General</c:formatCode>
                <c:ptCount val="5"/>
                <c:pt idx="0">
                  <c:v>38</c:v>
                </c:pt>
                <c:pt idx="1">
                  <c:v>31</c:v>
                </c:pt>
                <c:pt idx="2">
                  <c:v>40</c:v>
                </c:pt>
                <c:pt idx="3">
                  <c:v>48</c:v>
                </c:pt>
                <c:pt idx="4">
                  <c:v>48</c:v>
                </c:pt>
              </c:numCache>
            </c:numRef>
          </c:val>
          <c:smooth val="0"/>
          <c:extLst>
            <c:ext xmlns:c16="http://schemas.microsoft.com/office/drawing/2014/chart" uri="{C3380CC4-5D6E-409C-BE32-E72D297353CC}">
              <c16:uniqueId val="{00000007-B9B1-43DE-AF13-4D46A670F341}"/>
            </c:ext>
          </c:extLst>
        </c:ser>
        <c:ser>
          <c:idx val="1"/>
          <c:order val="1"/>
          <c:tx>
            <c:strRef>
              <c:f>'Gráficos Especialidades '!$A$49</c:f>
              <c:strCache>
                <c:ptCount val="1"/>
                <c:pt idx="0">
                  <c:v>Matrícula</c:v>
                </c:pt>
              </c:strCache>
            </c:strRef>
          </c:tx>
          <c:spPr>
            <a:ln w="19050" cap="rnd" cmpd="sng" algn="ctr">
              <a:solidFill>
                <a:schemeClr val="accent5"/>
              </a:solidFill>
              <a:prstDash val="solid"/>
              <a:round/>
            </a:ln>
            <a:effectLst/>
          </c:spPr>
          <c:marker>
            <c:symbol val="circle"/>
            <c:size val="7"/>
            <c:spPr>
              <a:solidFill>
                <a:schemeClr val="accent5"/>
              </a:solidFill>
              <a:ln w="6350" cap="flat" cmpd="sng" algn="ctr">
                <a:solidFill>
                  <a:schemeClr val="accent5"/>
                </a:solidFill>
                <a:prstDash val="solid"/>
                <a:round/>
              </a:ln>
              <a:effectLst/>
            </c:spPr>
          </c:marker>
          <c:dLbls>
            <c:dLbl>
              <c:idx val="0"/>
              <c:layout>
                <c:manualLayout>
                  <c:x val="-1.63120543084374E-2"/>
                  <c:y val="3.11020988493972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9B1-43DE-AF13-4D46A670F341}"/>
                </c:ext>
              </c:extLst>
            </c:dLbl>
            <c:dLbl>
              <c:idx val="1"/>
              <c:layout>
                <c:manualLayout>
                  <c:x val="-2.4920906193899981E-17"/>
                  <c:y val="4.44315697848532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9B1-43DE-AF13-4D46A670F341}"/>
                </c:ext>
              </c:extLst>
            </c:dLbl>
            <c:dLbl>
              <c:idx val="3"/>
              <c:layout>
                <c:manualLayout>
                  <c:x val="0"/>
                  <c:y val="2.22157848924265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9B1-43DE-AF13-4D46A670F341}"/>
                </c:ext>
              </c:extLst>
            </c:dLbl>
            <c:dLbl>
              <c:idx val="4"/>
              <c:layout>
                <c:manualLayout>
                  <c:x val="-2.7186757180729E-3"/>
                  <c:y val="5.3317883741823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B9B1-43DE-AF13-4D46A670F341}"/>
                </c:ext>
              </c:extLst>
            </c:dLbl>
            <c:dLbl>
              <c:idx val="6"/>
              <c:layout>
                <c:manualLayout>
                  <c:x val="-2.17494057445832E-2"/>
                  <c:y val="7.997682561273583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9B1-43DE-AF13-4D46A670F341}"/>
                </c:ext>
              </c:extLst>
            </c:dLbl>
            <c:spPr>
              <a:noFill/>
              <a:ln w="25400">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'!$B$47:$F$47</c:f>
              <c:numCache>
                <c:formatCode>General</c:formatCode>
                <c:ptCount val="5"/>
                <c:pt idx="0">
                  <c:v>2014</c:v>
                </c:pt>
                <c:pt idx="1">
                  <c:v>2015</c:v>
                </c:pt>
                <c:pt idx="2">
                  <c:v>2016</c:v>
                </c:pt>
                <c:pt idx="3">
                  <c:v>2017</c:v>
                </c:pt>
                <c:pt idx="4">
                  <c:v>2018</c:v>
                </c:pt>
              </c:numCache>
            </c:numRef>
          </c:cat>
          <c:val>
            <c:numRef>
              <c:f>'Gráficos Especialidades '!$B$49:$F$49</c:f>
              <c:numCache>
                <c:formatCode>General</c:formatCode>
                <c:ptCount val="5"/>
                <c:pt idx="0">
                  <c:v>131</c:v>
                </c:pt>
                <c:pt idx="1">
                  <c:v>131</c:v>
                </c:pt>
                <c:pt idx="2">
                  <c:v>157</c:v>
                </c:pt>
                <c:pt idx="3">
                  <c:v>166</c:v>
                </c:pt>
                <c:pt idx="4">
                  <c:v>168</c:v>
                </c:pt>
              </c:numCache>
            </c:numRef>
          </c:val>
          <c:smooth val="0"/>
          <c:extLst>
            <c:ext xmlns:c16="http://schemas.microsoft.com/office/drawing/2014/chart" uri="{C3380CC4-5D6E-409C-BE32-E72D297353CC}">
              <c16:uniqueId val="{0000000D-B9B1-43DE-AF13-4D46A670F341}"/>
            </c:ext>
          </c:extLst>
        </c:ser>
        <c:ser>
          <c:idx val="2"/>
          <c:order val="2"/>
          <c:tx>
            <c:strRef>
              <c:f>'Gráficos Especialidades '!$A$50</c:f>
              <c:strCache>
                <c:ptCount val="1"/>
                <c:pt idx="0">
                  <c:v>Egreso</c:v>
                </c:pt>
              </c:strCache>
            </c:strRef>
          </c:tx>
          <c:spPr>
            <a:ln w="19050" cap="rnd" cmpd="sng" algn="ctr">
              <a:solidFill>
                <a:schemeClr val="accent4"/>
              </a:solidFill>
              <a:prstDash val="solid"/>
              <a:round/>
            </a:ln>
            <a:effectLst/>
          </c:spPr>
          <c:marker>
            <c:symbol val="circle"/>
            <c:size val="7"/>
            <c:spPr>
              <a:solidFill>
                <a:schemeClr val="accent4"/>
              </a:solidFill>
              <a:ln w="6350" cap="flat" cmpd="sng" algn="ctr">
                <a:solidFill>
                  <a:schemeClr val="accent4"/>
                </a:solidFill>
                <a:prstDash val="solid"/>
                <a:round/>
              </a:ln>
              <a:effectLst/>
            </c:spPr>
          </c:marker>
          <c:dLbls>
            <c:dLbl>
              <c:idx val="0"/>
              <c:layout>
                <c:manualLayout>
                  <c:x val="0"/>
                  <c:y val="-3.110209884939735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B9B1-43DE-AF13-4D46A670F341}"/>
                </c:ext>
              </c:extLst>
            </c:dLbl>
            <c:dLbl>
              <c:idx val="1"/>
              <c:layout>
                <c:manualLayout>
                  <c:x val="-8.156027154218674E-3"/>
                  <c:y val="-5.3317883741823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B9B1-43DE-AF13-4D46A670F341}"/>
                </c:ext>
              </c:extLst>
            </c:dLbl>
            <c:dLbl>
              <c:idx val="2"/>
              <c:layout>
                <c:manualLayout>
                  <c:x val="-2.7186757180729049E-2"/>
                  <c:y val="-7.997682561273583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B9B1-43DE-AF13-4D46A670F341}"/>
                </c:ext>
              </c:extLst>
            </c:dLbl>
            <c:dLbl>
              <c:idx val="3"/>
              <c:layout>
                <c:manualLayout>
                  <c:x val="-2.44680814626561E-2"/>
                  <c:y val="-6.22041976987945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B9B1-43DE-AF13-4D46A670F341}"/>
                </c:ext>
              </c:extLst>
            </c:dLbl>
            <c:dLbl>
              <c:idx val="4"/>
              <c:layout>
                <c:manualLayout>
                  <c:x val="-8.1560271542187E-3"/>
                  <c:y val="-3.11020988493972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B9B1-43DE-AF13-4D46A670F341}"/>
                </c:ext>
              </c:extLst>
            </c:dLbl>
            <c:dLbl>
              <c:idx val="5"/>
              <c:layout>
                <c:manualLayout>
                  <c:x val="-4.0780135771093601E-2"/>
                  <c:y val="-0.10663576748364778"/>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B9B1-43DE-AF13-4D46A670F341}"/>
                </c:ext>
              </c:extLst>
            </c:dLbl>
            <c:spPr>
              <a:noFill/>
              <a:ln w="25400">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'!$B$47:$F$47</c:f>
              <c:numCache>
                <c:formatCode>General</c:formatCode>
                <c:ptCount val="5"/>
                <c:pt idx="0">
                  <c:v>2014</c:v>
                </c:pt>
                <c:pt idx="1">
                  <c:v>2015</c:v>
                </c:pt>
                <c:pt idx="2">
                  <c:v>2016</c:v>
                </c:pt>
                <c:pt idx="3">
                  <c:v>2017</c:v>
                </c:pt>
                <c:pt idx="4">
                  <c:v>2018</c:v>
                </c:pt>
              </c:numCache>
            </c:numRef>
          </c:cat>
          <c:val>
            <c:numRef>
              <c:f>'Gráficos Especialidades '!$B$50:$F$50</c:f>
              <c:numCache>
                <c:formatCode>General</c:formatCode>
                <c:ptCount val="5"/>
                <c:pt idx="0">
                  <c:v>36</c:v>
                </c:pt>
                <c:pt idx="1">
                  <c:v>60</c:v>
                </c:pt>
                <c:pt idx="2">
                  <c:v>53</c:v>
                </c:pt>
                <c:pt idx="3">
                  <c:v>55</c:v>
                </c:pt>
                <c:pt idx="4">
                  <c:v>56</c:v>
                </c:pt>
              </c:numCache>
            </c:numRef>
          </c:val>
          <c:smooth val="0"/>
          <c:extLst>
            <c:ext xmlns:c16="http://schemas.microsoft.com/office/drawing/2014/chart" uri="{C3380CC4-5D6E-409C-BE32-E72D297353CC}">
              <c16:uniqueId val="{00000014-B9B1-43DE-AF13-4D46A670F341}"/>
            </c:ext>
          </c:extLst>
        </c:ser>
        <c:dLbls>
          <c:showLegendKey val="0"/>
          <c:showVal val="0"/>
          <c:showCatName val="0"/>
          <c:showSerName val="0"/>
          <c:showPercent val="0"/>
          <c:showBubbleSize val="0"/>
        </c:dLbls>
        <c:marker val="1"/>
        <c:smooth val="0"/>
        <c:axId val="228393080"/>
        <c:axId val="1"/>
      </c:lineChart>
      <c:catAx>
        <c:axId val="228393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28393080"/>
        <c:crosses val="autoZero"/>
        <c:crossBetween val="between"/>
      </c:valAx>
      <c:spPr>
        <a:noFill/>
        <a:ln w="25400">
          <a:noFill/>
        </a:ln>
        <a:effectLst/>
      </c:spPr>
    </c:plotArea>
    <c:legend>
      <c:legendPos val="r"/>
      <c:overlay val="0"/>
      <c:spPr>
        <a:noFill/>
        <a:ln w="25400">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MX"/>
        </a:p>
      </c:txPr>
    </c:legend>
    <c:plotVisOnly val="1"/>
    <c:dispBlanksAs val="zero"/>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a:pPr>
      <a:endParaRPr lang="es-MX"/>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3245380987254391E-2"/>
          <c:y val="5.5572895374534165E-2"/>
          <c:w val="0.94832792959703571"/>
          <c:h val="0.72882103586338876"/>
        </c:manualLayout>
      </c:layout>
      <c:barChart>
        <c:barDir val="col"/>
        <c:grouping val="stacked"/>
        <c:varyColors val="0"/>
        <c:ser>
          <c:idx val="0"/>
          <c:order val="0"/>
          <c:tx>
            <c:v>ULSA</c:v>
          </c:tx>
          <c:spPr>
            <a:solidFill>
              <a:srgbClr val="4F81BD"/>
            </a:solidFill>
            <a:ln w="25400">
              <a:noFill/>
            </a:ln>
          </c:spPr>
          <c:invertIfNegative val="0"/>
          <c:dLbls>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ysClr val="windowText" lastClr="000000"/>
                    </a:solidFill>
                    <a:latin typeface="+mn-lt"/>
                    <a:ea typeface="+mn-ea"/>
                    <a:cs typeface="+mn-cs"/>
                  </a:defRPr>
                </a:pPr>
                <a:endParaRPr lang="es-MX"/>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'ULSA vs PRIV'!$E$7:$S$8</c:f>
              <c:multiLvlStrCache>
                <c:ptCount val="15"/>
                <c:lvl>
                  <c:pt idx="0">
                    <c:v>I</c:v>
                  </c:pt>
                  <c:pt idx="1">
                    <c:v>M</c:v>
                  </c:pt>
                  <c:pt idx="2">
                    <c:v>E</c:v>
                  </c:pt>
                  <c:pt idx="3">
                    <c:v>I</c:v>
                  </c:pt>
                  <c:pt idx="4">
                    <c:v>M</c:v>
                  </c:pt>
                  <c:pt idx="5">
                    <c:v>E</c:v>
                  </c:pt>
                  <c:pt idx="6">
                    <c:v>I</c:v>
                  </c:pt>
                  <c:pt idx="7">
                    <c:v>M</c:v>
                  </c:pt>
                  <c:pt idx="8">
                    <c:v>E</c:v>
                  </c:pt>
                  <c:pt idx="9">
                    <c:v>I</c:v>
                  </c:pt>
                  <c:pt idx="10">
                    <c:v>M</c:v>
                  </c:pt>
                  <c:pt idx="11">
                    <c:v>E</c:v>
                  </c:pt>
                  <c:pt idx="12">
                    <c:v>I</c:v>
                  </c:pt>
                  <c:pt idx="13">
                    <c:v>M</c:v>
                  </c:pt>
                  <c:pt idx="14">
                    <c:v>E</c:v>
                  </c:pt>
                </c:lvl>
                <c:lvl>
                  <c:pt idx="0">
                    <c:v>2014</c:v>
                  </c:pt>
                  <c:pt idx="3">
                    <c:v>2015</c:v>
                  </c:pt>
                  <c:pt idx="6">
                    <c:v>2016</c:v>
                  </c:pt>
                  <c:pt idx="9">
                    <c:v>2017</c:v>
                  </c:pt>
                  <c:pt idx="12">
                    <c:v>2018</c:v>
                  </c:pt>
                </c:lvl>
              </c:multiLvlStrCache>
            </c:multiLvlStrRef>
          </c:cat>
          <c:val>
            <c:numRef>
              <c:f>'ULSA vs PRIV'!$E$9:$S$9</c:f>
              <c:numCache>
                <c:formatCode>General</c:formatCode>
                <c:ptCount val="15"/>
                <c:pt idx="0">
                  <c:v>7</c:v>
                </c:pt>
                <c:pt idx="1">
                  <c:v>28</c:v>
                </c:pt>
                <c:pt idx="2">
                  <c:v>6</c:v>
                </c:pt>
                <c:pt idx="3">
                  <c:v>1</c:v>
                </c:pt>
                <c:pt idx="4">
                  <c:v>26</c:v>
                </c:pt>
                <c:pt idx="5">
                  <c:v>18</c:v>
                </c:pt>
                <c:pt idx="6">
                  <c:v>9</c:v>
                </c:pt>
                <c:pt idx="7">
                  <c:v>25</c:v>
                </c:pt>
                <c:pt idx="8">
                  <c:v>8</c:v>
                </c:pt>
                <c:pt idx="9">
                  <c:v>4</c:v>
                </c:pt>
                <c:pt idx="10">
                  <c:v>28</c:v>
                </c:pt>
                <c:pt idx="11">
                  <c:v>3</c:v>
                </c:pt>
                <c:pt idx="12">
                  <c:v>10</c:v>
                </c:pt>
                <c:pt idx="13">
                  <c:v>29</c:v>
                </c:pt>
                <c:pt idx="14">
                  <c:v>15</c:v>
                </c:pt>
              </c:numCache>
            </c:numRef>
          </c:val>
          <c:extLst>
            <c:ext xmlns:c16="http://schemas.microsoft.com/office/drawing/2014/chart" uri="{C3380CC4-5D6E-409C-BE32-E72D297353CC}">
              <c16:uniqueId val="{00000000-DFE9-458C-AF32-686C4C18E4E8}"/>
            </c:ext>
          </c:extLst>
        </c:ser>
        <c:ser>
          <c:idx val="1"/>
          <c:order val="1"/>
          <c:tx>
            <c:v>U. A. de Guadalajara</c:v>
          </c:tx>
          <c:spPr>
            <a:solidFill>
              <a:srgbClr val="C0504D"/>
            </a:solidFill>
            <a:ln w="25400">
              <a:noFill/>
            </a:ln>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1-DFE9-458C-AF32-686C4C18E4E8}"/>
                </c:ext>
              </c:extLst>
            </c:dLbl>
            <c:dLbl>
              <c:idx val="2"/>
              <c:delete val="1"/>
              <c:extLst>
                <c:ext xmlns:c15="http://schemas.microsoft.com/office/drawing/2012/chart" uri="{CE6537A1-D6FC-4f65-9D91-7224C49458BB}"/>
                <c:ext xmlns:c16="http://schemas.microsoft.com/office/drawing/2014/chart" uri="{C3380CC4-5D6E-409C-BE32-E72D297353CC}">
                  <c16:uniqueId val="{00000002-DFE9-458C-AF32-686C4C18E4E8}"/>
                </c:ext>
              </c:extLst>
            </c:dLbl>
            <c:dLbl>
              <c:idx val="3"/>
              <c:delete val="1"/>
              <c:extLst>
                <c:ext xmlns:c15="http://schemas.microsoft.com/office/drawing/2012/chart" uri="{CE6537A1-D6FC-4f65-9D91-7224C49458BB}"/>
                <c:ext xmlns:c16="http://schemas.microsoft.com/office/drawing/2014/chart" uri="{C3380CC4-5D6E-409C-BE32-E72D297353CC}">
                  <c16:uniqueId val="{00000003-DFE9-458C-AF32-686C4C18E4E8}"/>
                </c:ext>
              </c:extLst>
            </c:dLbl>
            <c:dLbl>
              <c:idx val="4"/>
              <c:delete val="1"/>
              <c:extLst>
                <c:ext xmlns:c15="http://schemas.microsoft.com/office/drawing/2012/chart" uri="{CE6537A1-D6FC-4f65-9D91-7224C49458BB}"/>
                <c:ext xmlns:c16="http://schemas.microsoft.com/office/drawing/2014/chart" uri="{C3380CC4-5D6E-409C-BE32-E72D297353CC}">
                  <c16:uniqueId val="{00000004-DFE9-458C-AF32-686C4C18E4E8}"/>
                </c:ext>
              </c:extLst>
            </c:dLbl>
            <c:dLbl>
              <c:idx val="8"/>
              <c:delete val="1"/>
              <c:extLst>
                <c:ext xmlns:c15="http://schemas.microsoft.com/office/drawing/2012/chart" uri="{CE6537A1-D6FC-4f65-9D91-7224C49458BB}"/>
                <c:ext xmlns:c16="http://schemas.microsoft.com/office/drawing/2014/chart" uri="{C3380CC4-5D6E-409C-BE32-E72D297353CC}">
                  <c16:uniqueId val="{00000005-DFE9-458C-AF32-686C4C18E4E8}"/>
                </c:ext>
              </c:extLst>
            </c:dLbl>
            <c:dLbl>
              <c:idx val="9"/>
              <c:layout>
                <c:manualLayout>
                  <c:x val="0"/>
                  <c:y val="-5.93471717645783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FE9-458C-AF32-686C4C18E4E8}"/>
                </c:ext>
              </c:extLst>
            </c:dLbl>
            <c:dLbl>
              <c:idx val="11"/>
              <c:delete val="1"/>
              <c:extLst>
                <c:ext xmlns:c15="http://schemas.microsoft.com/office/drawing/2012/chart" uri="{CE6537A1-D6FC-4f65-9D91-7224C49458BB}"/>
                <c:ext xmlns:c16="http://schemas.microsoft.com/office/drawing/2014/chart" uri="{C3380CC4-5D6E-409C-BE32-E72D297353CC}">
                  <c16:uniqueId val="{00000007-DFE9-458C-AF32-686C4C18E4E8}"/>
                </c:ext>
              </c:extLst>
            </c:dLbl>
            <c:dLbl>
              <c:idx val="12"/>
              <c:delete val="1"/>
              <c:extLst>
                <c:ext xmlns:c15="http://schemas.microsoft.com/office/drawing/2012/chart" uri="{CE6537A1-D6FC-4f65-9D91-7224C49458BB}"/>
                <c:ext xmlns:c16="http://schemas.microsoft.com/office/drawing/2014/chart" uri="{C3380CC4-5D6E-409C-BE32-E72D297353CC}">
                  <c16:uniqueId val="{00000008-DFE9-458C-AF32-686C4C18E4E8}"/>
                </c:ext>
              </c:extLst>
            </c:dLbl>
            <c:spPr>
              <a:noFill/>
              <a:ln w="25400">
                <a:noFill/>
              </a:ln>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mn-lt"/>
                    <a:ea typeface="+mn-ea"/>
                    <a:cs typeface="+mn-cs"/>
                  </a:defRPr>
                </a:pPr>
                <a:endParaRPr lang="es-MX"/>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'ULSA vs PRIV'!$E$7:$S$8</c:f>
              <c:multiLvlStrCache>
                <c:ptCount val="15"/>
                <c:lvl>
                  <c:pt idx="0">
                    <c:v>I</c:v>
                  </c:pt>
                  <c:pt idx="1">
                    <c:v>M</c:v>
                  </c:pt>
                  <c:pt idx="2">
                    <c:v>E</c:v>
                  </c:pt>
                  <c:pt idx="3">
                    <c:v>I</c:v>
                  </c:pt>
                  <c:pt idx="4">
                    <c:v>M</c:v>
                  </c:pt>
                  <c:pt idx="5">
                    <c:v>E</c:v>
                  </c:pt>
                  <c:pt idx="6">
                    <c:v>I</c:v>
                  </c:pt>
                  <c:pt idx="7">
                    <c:v>M</c:v>
                  </c:pt>
                  <c:pt idx="8">
                    <c:v>E</c:v>
                  </c:pt>
                  <c:pt idx="9">
                    <c:v>I</c:v>
                  </c:pt>
                  <c:pt idx="10">
                    <c:v>M</c:v>
                  </c:pt>
                  <c:pt idx="11">
                    <c:v>E</c:v>
                  </c:pt>
                  <c:pt idx="12">
                    <c:v>I</c:v>
                  </c:pt>
                  <c:pt idx="13">
                    <c:v>M</c:v>
                  </c:pt>
                  <c:pt idx="14">
                    <c:v>E</c:v>
                  </c:pt>
                </c:lvl>
                <c:lvl>
                  <c:pt idx="0">
                    <c:v>2014</c:v>
                  </c:pt>
                  <c:pt idx="3">
                    <c:v>2015</c:v>
                  </c:pt>
                  <c:pt idx="6">
                    <c:v>2016</c:v>
                  </c:pt>
                  <c:pt idx="9">
                    <c:v>2017</c:v>
                  </c:pt>
                  <c:pt idx="12">
                    <c:v>2018</c:v>
                  </c:pt>
                </c:lvl>
              </c:multiLvlStrCache>
            </c:multiLvlStrRef>
          </c:cat>
          <c:val>
            <c:numRef>
              <c:f>'ULSA vs PRIV'!$E$10:$S$10</c:f>
              <c:numCache>
                <c:formatCode>General</c:formatCode>
                <c:ptCount val="15"/>
                <c:pt idx="0">
                  <c:v>0</c:v>
                </c:pt>
                <c:pt idx="1">
                  <c:v>1</c:v>
                </c:pt>
                <c:pt idx="2">
                  <c:v>0</c:v>
                </c:pt>
                <c:pt idx="3">
                  <c:v>0</c:v>
                </c:pt>
                <c:pt idx="4">
                  <c:v>0</c:v>
                </c:pt>
                <c:pt idx="5">
                  <c:v>1</c:v>
                </c:pt>
                <c:pt idx="6">
                  <c:v>1</c:v>
                </c:pt>
                <c:pt idx="7">
                  <c:v>2</c:v>
                </c:pt>
                <c:pt idx="8">
                  <c:v>0</c:v>
                </c:pt>
                <c:pt idx="9">
                  <c:v>1</c:v>
                </c:pt>
                <c:pt idx="10">
                  <c:v>3</c:v>
                </c:pt>
                <c:pt idx="11">
                  <c:v>0</c:v>
                </c:pt>
                <c:pt idx="12">
                  <c:v>0</c:v>
                </c:pt>
                <c:pt idx="13">
                  <c:v>2</c:v>
                </c:pt>
                <c:pt idx="14">
                  <c:v>1</c:v>
                </c:pt>
              </c:numCache>
            </c:numRef>
          </c:val>
          <c:extLst>
            <c:ext xmlns:c16="http://schemas.microsoft.com/office/drawing/2014/chart" uri="{C3380CC4-5D6E-409C-BE32-E72D297353CC}">
              <c16:uniqueId val="{00000009-DFE9-458C-AF32-686C4C18E4E8}"/>
            </c:ext>
          </c:extLst>
        </c:ser>
        <c:ser>
          <c:idx val="2"/>
          <c:order val="2"/>
          <c:tx>
            <c:v>Tec. De Monterrey</c:v>
          </c:tx>
          <c:spPr>
            <a:solidFill>
              <a:srgbClr val="9BBB59"/>
            </a:solidFill>
            <a:ln w="25400">
              <a:noFill/>
            </a:ln>
          </c:spPr>
          <c:invertIfNegative val="0"/>
          <c:dLbls>
            <c:dLbl>
              <c:idx val="5"/>
              <c:layout>
                <c:manualLayout>
                  <c:x val="-4.551985486666366E-17"/>
                  <c:y val="-3.9564781176387011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FE9-458C-AF32-686C4C18E4E8}"/>
                </c:ext>
              </c:extLst>
            </c:dLbl>
            <c:dLbl>
              <c:idx val="6"/>
              <c:layout>
                <c:manualLayout>
                  <c:x val="0"/>
                  <c:y val="-5.934717176457978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DFE9-458C-AF32-686C4C18E4E8}"/>
                </c:ext>
              </c:extLst>
            </c:dLbl>
            <c:dLbl>
              <c:idx val="9"/>
              <c:layout>
                <c:manualLayout>
                  <c:x val="0"/>
                  <c:y val="-5.93471717645783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DFE9-458C-AF32-686C4C18E4E8}"/>
                </c:ext>
              </c:extLst>
            </c:dLbl>
            <c:dLbl>
              <c:idx val="14"/>
              <c:dLblPos val="in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FE9-458C-AF32-686C4C18E4E8}"/>
                </c:ext>
              </c:extLst>
            </c:dLbl>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mn-lt"/>
                    <a:ea typeface="+mn-ea"/>
                    <a:cs typeface="+mn-cs"/>
                  </a:defRPr>
                </a:pPr>
                <a:endParaRPr lang="es-MX"/>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'ULSA vs PRIV'!$E$7:$S$8</c:f>
              <c:multiLvlStrCache>
                <c:ptCount val="15"/>
                <c:lvl>
                  <c:pt idx="0">
                    <c:v>I</c:v>
                  </c:pt>
                  <c:pt idx="1">
                    <c:v>M</c:v>
                  </c:pt>
                  <c:pt idx="2">
                    <c:v>E</c:v>
                  </c:pt>
                  <c:pt idx="3">
                    <c:v>I</c:v>
                  </c:pt>
                  <c:pt idx="4">
                    <c:v>M</c:v>
                  </c:pt>
                  <c:pt idx="5">
                    <c:v>E</c:v>
                  </c:pt>
                  <c:pt idx="6">
                    <c:v>I</c:v>
                  </c:pt>
                  <c:pt idx="7">
                    <c:v>M</c:v>
                  </c:pt>
                  <c:pt idx="8">
                    <c:v>E</c:v>
                  </c:pt>
                  <c:pt idx="9">
                    <c:v>I</c:v>
                  </c:pt>
                  <c:pt idx="10">
                    <c:v>M</c:v>
                  </c:pt>
                  <c:pt idx="11">
                    <c:v>E</c:v>
                  </c:pt>
                  <c:pt idx="12">
                    <c:v>I</c:v>
                  </c:pt>
                  <c:pt idx="13">
                    <c:v>M</c:v>
                  </c:pt>
                  <c:pt idx="14">
                    <c:v>E</c:v>
                  </c:pt>
                </c:lvl>
                <c:lvl>
                  <c:pt idx="0">
                    <c:v>2014</c:v>
                  </c:pt>
                  <c:pt idx="3">
                    <c:v>2015</c:v>
                  </c:pt>
                  <c:pt idx="6">
                    <c:v>2016</c:v>
                  </c:pt>
                  <c:pt idx="9">
                    <c:v>2017</c:v>
                  </c:pt>
                  <c:pt idx="12">
                    <c:v>2018</c:v>
                  </c:pt>
                </c:lvl>
              </c:multiLvlStrCache>
            </c:multiLvlStrRef>
          </c:cat>
          <c:val>
            <c:numRef>
              <c:f>'ULSA vs PRIV'!$E$11:$S$11</c:f>
              <c:numCache>
                <c:formatCode>General</c:formatCode>
                <c:ptCount val="15"/>
                <c:pt idx="0">
                  <c:v>8</c:v>
                </c:pt>
                <c:pt idx="1">
                  <c:v>27</c:v>
                </c:pt>
                <c:pt idx="2">
                  <c:v>5</c:v>
                </c:pt>
                <c:pt idx="3">
                  <c:v>8</c:v>
                </c:pt>
                <c:pt idx="4">
                  <c:v>30</c:v>
                </c:pt>
                <c:pt idx="5">
                  <c:v>6</c:v>
                </c:pt>
                <c:pt idx="6">
                  <c:v>7</c:v>
                </c:pt>
                <c:pt idx="7">
                  <c:v>29</c:v>
                </c:pt>
                <c:pt idx="8">
                  <c:v>6</c:v>
                </c:pt>
                <c:pt idx="9">
                  <c:v>8</c:v>
                </c:pt>
                <c:pt idx="10">
                  <c:v>30</c:v>
                </c:pt>
                <c:pt idx="11">
                  <c:v>8</c:v>
                </c:pt>
                <c:pt idx="12">
                  <c:v>8</c:v>
                </c:pt>
                <c:pt idx="13">
                  <c:v>30</c:v>
                </c:pt>
                <c:pt idx="14">
                  <c:v>7</c:v>
                </c:pt>
              </c:numCache>
            </c:numRef>
          </c:val>
          <c:extLst>
            <c:ext xmlns:c16="http://schemas.microsoft.com/office/drawing/2014/chart" uri="{C3380CC4-5D6E-409C-BE32-E72D297353CC}">
              <c16:uniqueId val="{0000000E-DFE9-458C-AF32-686C4C18E4E8}"/>
            </c:ext>
          </c:extLst>
        </c:ser>
        <c:ser>
          <c:idx val="3"/>
          <c:order val="3"/>
          <c:tx>
            <c:v>U. de Monterrey</c:v>
          </c:tx>
          <c:spPr>
            <a:solidFill>
              <a:srgbClr val="8064A2"/>
            </a:solidFill>
            <a:ln w="25400">
              <a:noFill/>
            </a:ln>
          </c:spPr>
          <c:invertIfNegative val="0"/>
          <c:dLbls>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mn-lt"/>
                    <a:ea typeface="+mn-ea"/>
                    <a:cs typeface="+mn-cs"/>
                  </a:defRPr>
                </a:pPr>
                <a:endParaRPr lang="es-MX"/>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'ULSA vs PRIV'!$E$7:$S$8</c:f>
              <c:multiLvlStrCache>
                <c:ptCount val="15"/>
                <c:lvl>
                  <c:pt idx="0">
                    <c:v>I</c:v>
                  </c:pt>
                  <c:pt idx="1">
                    <c:v>M</c:v>
                  </c:pt>
                  <c:pt idx="2">
                    <c:v>E</c:v>
                  </c:pt>
                  <c:pt idx="3">
                    <c:v>I</c:v>
                  </c:pt>
                  <c:pt idx="4">
                    <c:v>M</c:v>
                  </c:pt>
                  <c:pt idx="5">
                    <c:v>E</c:v>
                  </c:pt>
                  <c:pt idx="6">
                    <c:v>I</c:v>
                  </c:pt>
                  <c:pt idx="7">
                    <c:v>M</c:v>
                  </c:pt>
                  <c:pt idx="8">
                    <c:v>E</c:v>
                  </c:pt>
                  <c:pt idx="9">
                    <c:v>I</c:v>
                  </c:pt>
                  <c:pt idx="10">
                    <c:v>M</c:v>
                  </c:pt>
                  <c:pt idx="11">
                    <c:v>E</c:v>
                  </c:pt>
                  <c:pt idx="12">
                    <c:v>I</c:v>
                  </c:pt>
                  <c:pt idx="13">
                    <c:v>M</c:v>
                  </c:pt>
                  <c:pt idx="14">
                    <c:v>E</c:v>
                  </c:pt>
                </c:lvl>
                <c:lvl>
                  <c:pt idx="0">
                    <c:v>2014</c:v>
                  </c:pt>
                  <c:pt idx="3">
                    <c:v>2015</c:v>
                  </c:pt>
                  <c:pt idx="6">
                    <c:v>2016</c:v>
                  </c:pt>
                  <c:pt idx="9">
                    <c:v>2017</c:v>
                  </c:pt>
                  <c:pt idx="12">
                    <c:v>2018</c:v>
                  </c:pt>
                </c:lvl>
              </c:multiLvlStrCache>
            </c:multiLvlStrRef>
          </c:cat>
          <c:val>
            <c:numRef>
              <c:f>'ULSA vs PRIV'!$E$12:$S$12</c:f>
              <c:numCache>
                <c:formatCode>General</c:formatCode>
                <c:ptCount val="15"/>
                <c:pt idx="0">
                  <c:v>23</c:v>
                </c:pt>
                <c:pt idx="1">
                  <c:v>75</c:v>
                </c:pt>
                <c:pt idx="2">
                  <c:v>25</c:v>
                </c:pt>
                <c:pt idx="3">
                  <c:v>22</c:v>
                </c:pt>
                <c:pt idx="4">
                  <c:v>75</c:v>
                </c:pt>
                <c:pt idx="5">
                  <c:v>24</c:v>
                </c:pt>
                <c:pt idx="6">
                  <c:v>23</c:v>
                </c:pt>
                <c:pt idx="7">
                  <c:v>85</c:v>
                </c:pt>
                <c:pt idx="8">
                  <c:v>19</c:v>
                </c:pt>
                <c:pt idx="9">
                  <c:v>35</c:v>
                </c:pt>
                <c:pt idx="10">
                  <c:v>100</c:v>
                </c:pt>
                <c:pt idx="11">
                  <c:v>26</c:v>
                </c:pt>
                <c:pt idx="12">
                  <c:v>30</c:v>
                </c:pt>
                <c:pt idx="13">
                  <c:v>96</c:v>
                </c:pt>
                <c:pt idx="14">
                  <c:v>31</c:v>
                </c:pt>
              </c:numCache>
            </c:numRef>
          </c:val>
          <c:extLst>
            <c:ext xmlns:c16="http://schemas.microsoft.com/office/drawing/2014/chart" uri="{C3380CC4-5D6E-409C-BE32-E72D297353CC}">
              <c16:uniqueId val="{0000000F-DFE9-458C-AF32-686C4C18E4E8}"/>
            </c:ext>
          </c:extLst>
        </c:ser>
        <c:ser>
          <c:idx val="4"/>
          <c:order val="4"/>
          <c:tx>
            <c:v>UPAEP</c:v>
          </c:tx>
          <c:spPr>
            <a:solidFill>
              <a:srgbClr val="4BACC6"/>
            </a:solidFill>
            <a:ln w="25400">
              <a:noFill/>
            </a:ln>
          </c:spPr>
          <c:invertIfNegative val="0"/>
          <c:dLbls>
            <c:dLbl>
              <c:idx val="3"/>
              <c:delete val="1"/>
              <c:extLst>
                <c:ext xmlns:c15="http://schemas.microsoft.com/office/drawing/2012/chart" uri="{CE6537A1-D6FC-4f65-9D91-7224C49458BB}"/>
                <c:ext xmlns:c16="http://schemas.microsoft.com/office/drawing/2014/chart" uri="{C3380CC4-5D6E-409C-BE32-E72D297353CC}">
                  <c16:uniqueId val="{00000010-DFE9-458C-AF32-686C4C18E4E8}"/>
                </c:ext>
              </c:extLst>
            </c:dLbl>
            <c:dLbl>
              <c:idx val="4"/>
              <c:delete val="1"/>
              <c:extLst>
                <c:ext xmlns:c15="http://schemas.microsoft.com/office/drawing/2012/chart" uri="{CE6537A1-D6FC-4f65-9D91-7224C49458BB}"/>
                <c:ext xmlns:c16="http://schemas.microsoft.com/office/drawing/2014/chart" uri="{C3380CC4-5D6E-409C-BE32-E72D297353CC}">
                  <c16:uniqueId val="{00000011-DFE9-458C-AF32-686C4C18E4E8}"/>
                </c:ext>
              </c:extLst>
            </c:dLbl>
            <c:dLbl>
              <c:idx val="6"/>
              <c:delete val="1"/>
              <c:extLst>
                <c:ext xmlns:c15="http://schemas.microsoft.com/office/drawing/2012/chart" uri="{CE6537A1-D6FC-4f65-9D91-7224C49458BB}"/>
                <c:ext xmlns:c16="http://schemas.microsoft.com/office/drawing/2014/chart" uri="{C3380CC4-5D6E-409C-BE32-E72D297353CC}">
                  <c16:uniqueId val="{00000012-DFE9-458C-AF32-686C4C18E4E8}"/>
                </c:ext>
              </c:extLst>
            </c:dLbl>
            <c:dLbl>
              <c:idx val="9"/>
              <c:delete val="1"/>
              <c:extLst>
                <c:ext xmlns:c15="http://schemas.microsoft.com/office/drawing/2012/chart" uri="{CE6537A1-D6FC-4f65-9D91-7224C49458BB}"/>
                <c:ext xmlns:c16="http://schemas.microsoft.com/office/drawing/2014/chart" uri="{C3380CC4-5D6E-409C-BE32-E72D297353CC}">
                  <c16:uniqueId val="{00000013-DFE9-458C-AF32-686C4C18E4E8}"/>
                </c:ext>
              </c:extLst>
            </c:dLbl>
            <c:dLbl>
              <c:idx val="12"/>
              <c:delete val="1"/>
              <c:extLst>
                <c:ext xmlns:c15="http://schemas.microsoft.com/office/drawing/2012/chart" uri="{CE6537A1-D6FC-4f65-9D91-7224C49458BB}"/>
                <c:ext xmlns:c16="http://schemas.microsoft.com/office/drawing/2014/chart" uri="{C3380CC4-5D6E-409C-BE32-E72D297353CC}">
                  <c16:uniqueId val="{00000014-DFE9-458C-AF32-686C4C18E4E8}"/>
                </c:ext>
              </c:extLst>
            </c:dLbl>
            <c:spPr>
              <a:noFill/>
              <a:ln w="25400">
                <a:noFill/>
              </a:ln>
            </c:spPr>
            <c:txPr>
              <a:bodyPr rot="0" spcFirstLastPara="1" vertOverflow="ellipsis" vert="horz" wrap="square" lIns="38100" tIns="19050" rIns="38100" bIns="19050" anchor="ctr" anchorCtr="1">
                <a:spAutoFit/>
              </a:bodyPr>
              <a:lstStyle/>
              <a:p>
                <a:pPr>
                  <a:defRPr sz="1050" b="1" i="0" u="none" strike="noStrike" kern="1200" baseline="0">
                    <a:solidFill>
                      <a:sysClr val="windowText" lastClr="000000"/>
                    </a:solidFill>
                    <a:latin typeface="+mn-lt"/>
                    <a:ea typeface="+mn-ea"/>
                    <a:cs typeface="+mn-cs"/>
                  </a:defRPr>
                </a:pPr>
                <a:endParaRPr lang="es-MX"/>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'ULSA vs PRIV'!$E$7:$S$8</c:f>
              <c:multiLvlStrCache>
                <c:ptCount val="15"/>
                <c:lvl>
                  <c:pt idx="0">
                    <c:v>I</c:v>
                  </c:pt>
                  <c:pt idx="1">
                    <c:v>M</c:v>
                  </c:pt>
                  <c:pt idx="2">
                    <c:v>E</c:v>
                  </c:pt>
                  <c:pt idx="3">
                    <c:v>I</c:v>
                  </c:pt>
                  <c:pt idx="4">
                    <c:v>M</c:v>
                  </c:pt>
                  <c:pt idx="5">
                    <c:v>E</c:v>
                  </c:pt>
                  <c:pt idx="6">
                    <c:v>I</c:v>
                  </c:pt>
                  <c:pt idx="7">
                    <c:v>M</c:v>
                  </c:pt>
                  <c:pt idx="8">
                    <c:v>E</c:v>
                  </c:pt>
                  <c:pt idx="9">
                    <c:v>I</c:v>
                  </c:pt>
                  <c:pt idx="10">
                    <c:v>M</c:v>
                  </c:pt>
                  <c:pt idx="11">
                    <c:v>E</c:v>
                  </c:pt>
                  <c:pt idx="12">
                    <c:v>I</c:v>
                  </c:pt>
                  <c:pt idx="13">
                    <c:v>M</c:v>
                  </c:pt>
                  <c:pt idx="14">
                    <c:v>E</c:v>
                  </c:pt>
                </c:lvl>
                <c:lvl>
                  <c:pt idx="0">
                    <c:v>2014</c:v>
                  </c:pt>
                  <c:pt idx="3">
                    <c:v>2015</c:v>
                  </c:pt>
                  <c:pt idx="6">
                    <c:v>2016</c:v>
                  </c:pt>
                  <c:pt idx="9">
                    <c:v>2017</c:v>
                  </c:pt>
                  <c:pt idx="12">
                    <c:v>2018</c:v>
                  </c:pt>
                </c:lvl>
              </c:multiLvlStrCache>
            </c:multiLvlStrRef>
          </c:cat>
          <c:val>
            <c:numRef>
              <c:f>'ULSA vs PRIV'!$E$13:$S$13</c:f>
              <c:numCache>
                <c:formatCode>General</c:formatCode>
                <c:ptCount val="15"/>
                <c:pt idx="3">
                  <c:v>0</c:v>
                </c:pt>
                <c:pt idx="4">
                  <c:v>0</c:v>
                </c:pt>
                <c:pt idx="5">
                  <c:v>11</c:v>
                </c:pt>
                <c:pt idx="6">
                  <c:v>0</c:v>
                </c:pt>
                <c:pt idx="7">
                  <c:v>16</c:v>
                </c:pt>
                <c:pt idx="8">
                  <c:v>20</c:v>
                </c:pt>
                <c:pt idx="9">
                  <c:v>0</c:v>
                </c:pt>
                <c:pt idx="10">
                  <c:v>5</c:v>
                </c:pt>
                <c:pt idx="11">
                  <c:v>18</c:v>
                </c:pt>
                <c:pt idx="12">
                  <c:v>0</c:v>
                </c:pt>
                <c:pt idx="13">
                  <c:v>11</c:v>
                </c:pt>
                <c:pt idx="14">
                  <c:v>2</c:v>
                </c:pt>
              </c:numCache>
            </c:numRef>
          </c:val>
          <c:extLst>
            <c:ext xmlns:c16="http://schemas.microsoft.com/office/drawing/2014/chart" uri="{C3380CC4-5D6E-409C-BE32-E72D297353CC}">
              <c16:uniqueId val="{00000015-DFE9-458C-AF32-686C4C18E4E8}"/>
            </c:ext>
          </c:extLst>
        </c:ser>
        <c:dLbls>
          <c:showLegendKey val="0"/>
          <c:showVal val="0"/>
          <c:showCatName val="0"/>
          <c:showSerName val="0"/>
          <c:showPercent val="0"/>
          <c:showBubbleSize val="0"/>
        </c:dLbls>
        <c:gapWidth val="150"/>
        <c:overlap val="100"/>
        <c:axId val="517981120"/>
        <c:axId val="517981680"/>
      </c:barChart>
      <c:catAx>
        <c:axId val="517981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1" i="0" u="none" strike="noStrike" kern="1200" baseline="0">
                <a:solidFill>
                  <a:sysClr val="windowText" lastClr="000000"/>
                </a:solidFill>
                <a:latin typeface="+mn-lt"/>
                <a:ea typeface="+mn-ea"/>
                <a:cs typeface="+mn-cs"/>
              </a:defRPr>
            </a:pPr>
            <a:endParaRPr lang="es-MX"/>
          </a:p>
        </c:txPr>
        <c:crossAx val="517981680"/>
        <c:crosses val="autoZero"/>
        <c:auto val="1"/>
        <c:lblAlgn val="ctr"/>
        <c:lblOffset val="100"/>
        <c:noMultiLvlLbl val="0"/>
      </c:catAx>
      <c:valAx>
        <c:axId val="517981680"/>
        <c:scaling>
          <c:orientation val="minMax"/>
          <c:max val="18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17981120"/>
        <c:crosses val="autoZero"/>
        <c:crossBetween val="between"/>
        <c:majorUnit val="10"/>
      </c:valAx>
      <c:spPr>
        <a:noFill/>
        <a:ln w="25400">
          <a:noFill/>
        </a:ln>
      </c:spPr>
    </c:plotArea>
    <c:legend>
      <c:legendPos val="b"/>
      <c:legendEntry>
        <c:idx val="2"/>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s-MX"/>
          </a:p>
        </c:txPr>
      </c:legendEntry>
      <c:overlay val="0"/>
      <c:spPr>
        <a:noFill/>
        <a:ln w="25400">
          <a:noFill/>
        </a:ln>
      </c:spPr>
      <c:txPr>
        <a:bodyPr rot="0" spcFirstLastPara="1" vertOverflow="ellipsis" vert="horz" wrap="square" anchor="ctr" anchorCtr="1"/>
        <a:lstStyle/>
        <a:p>
          <a:pPr>
            <a:defRPr sz="1050" b="1" i="0" u="none" strike="noStrike" kern="1200" baseline="0">
              <a:solidFill>
                <a:sysClr val="windowText" lastClr="000000"/>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Anestesiologia!$A$99</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Anestesiologia!$B$98:$H$98</c:f>
              <c:numCache>
                <c:formatCode>General</c:formatCode>
                <c:ptCount val="7"/>
                <c:pt idx="0">
                  <c:v>2012</c:v>
                </c:pt>
                <c:pt idx="1">
                  <c:v>2013</c:v>
                </c:pt>
                <c:pt idx="2">
                  <c:v>2014</c:v>
                </c:pt>
                <c:pt idx="3">
                  <c:v>2015</c:v>
                </c:pt>
                <c:pt idx="4">
                  <c:v>2016</c:v>
                </c:pt>
                <c:pt idx="5">
                  <c:v>2017</c:v>
                </c:pt>
                <c:pt idx="6">
                  <c:v>2018</c:v>
                </c:pt>
              </c:numCache>
            </c:numRef>
          </c:cat>
          <c:val>
            <c:numRef>
              <c:f>Anestesiologia!$B$99:$H$99</c:f>
              <c:numCache>
                <c:formatCode>General</c:formatCode>
                <c:ptCount val="7"/>
                <c:pt idx="0">
                  <c:v>10</c:v>
                </c:pt>
                <c:pt idx="1">
                  <c:v>7</c:v>
                </c:pt>
                <c:pt idx="2">
                  <c:v>9</c:v>
                </c:pt>
                <c:pt idx="3">
                  <c:v>10</c:v>
                </c:pt>
                <c:pt idx="4">
                  <c:v>10</c:v>
                </c:pt>
                <c:pt idx="5">
                  <c:v>10</c:v>
                </c:pt>
                <c:pt idx="6">
                  <c:v>10</c:v>
                </c:pt>
              </c:numCache>
            </c:numRef>
          </c:val>
          <c:extLst>
            <c:ext xmlns:c16="http://schemas.microsoft.com/office/drawing/2014/chart" uri="{C3380CC4-5D6E-409C-BE32-E72D297353CC}">
              <c16:uniqueId val="{00000000-CBCE-4FC6-A9D0-50532B1E14DC}"/>
            </c:ext>
          </c:extLst>
        </c:ser>
        <c:ser>
          <c:idx val="1"/>
          <c:order val="1"/>
          <c:tx>
            <c:strRef>
              <c:f>Anestesiologia!$A$100</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Anestesiologia!$B$98:$H$98</c:f>
              <c:numCache>
                <c:formatCode>General</c:formatCode>
                <c:ptCount val="7"/>
                <c:pt idx="0">
                  <c:v>2012</c:v>
                </c:pt>
                <c:pt idx="1">
                  <c:v>2013</c:v>
                </c:pt>
                <c:pt idx="2">
                  <c:v>2014</c:v>
                </c:pt>
                <c:pt idx="3">
                  <c:v>2015</c:v>
                </c:pt>
                <c:pt idx="4">
                  <c:v>2016</c:v>
                </c:pt>
                <c:pt idx="5">
                  <c:v>2017</c:v>
                </c:pt>
                <c:pt idx="6">
                  <c:v>2018</c:v>
                </c:pt>
              </c:numCache>
            </c:numRef>
          </c:cat>
          <c:val>
            <c:numRef>
              <c:f>Anestesiologia!$B$100:$H$100</c:f>
              <c:numCache>
                <c:formatCode>General</c:formatCode>
                <c:ptCount val="7"/>
                <c:pt idx="0">
                  <c:v>28</c:v>
                </c:pt>
                <c:pt idx="1">
                  <c:v>28</c:v>
                </c:pt>
                <c:pt idx="2">
                  <c:v>25</c:v>
                </c:pt>
                <c:pt idx="3">
                  <c:v>25</c:v>
                </c:pt>
                <c:pt idx="4">
                  <c:v>28</c:v>
                </c:pt>
                <c:pt idx="5">
                  <c:v>29</c:v>
                </c:pt>
                <c:pt idx="6">
                  <c:v>30</c:v>
                </c:pt>
              </c:numCache>
            </c:numRef>
          </c:val>
          <c:extLst>
            <c:ext xmlns:c16="http://schemas.microsoft.com/office/drawing/2014/chart" uri="{C3380CC4-5D6E-409C-BE32-E72D297353CC}">
              <c16:uniqueId val="{00000001-CBCE-4FC6-A9D0-50532B1E14DC}"/>
            </c:ext>
          </c:extLst>
        </c:ser>
        <c:ser>
          <c:idx val="2"/>
          <c:order val="2"/>
          <c:tx>
            <c:strRef>
              <c:f>Anestesiologia!$A$101</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Anestesiologia!$B$98:$H$98</c:f>
              <c:numCache>
                <c:formatCode>General</c:formatCode>
                <c:ptCount val="7"/>
                <c:pt idx="0">
                  <c:v>2012</c:v>
                </c:pt>
                <c:pt idx="1">
                  <c:v>2013</c:v>
                </c:pt>
                <c:pt idx="2">
                  <c:v>2014</c:v>
                </c:pt>
                <c:pt idx="3">
                  <c:v>2015</c:v>
                </c:pt>
                <c:pt idx="4">
                  <c:v>2016</c:v>
                </c:pt>
                <c:pt idx="5">
                  <c:v>2017</c:v>
                </c:pt>
                <c:pt idx="6">
                  <c:v>2018</c:v>
                </c:pt>
              </c:numCache>
            </c:numRef>
          </c:cat>
          <c:val>
            <c:numRef>
              <c:f>Anestesiologia!$B$101:$H$101</c:f>
              <c:numCache>
                <c:formatCode>General</c:formatCode>
                <c:ptCount val="7"/>
                <c:pt idx="0">
                  <c:v>6</c:v>
                </c:pt>
                <c:pt idx="1">
                  <c:v>7</c:v>
                </c:pt>
                <c:pt idx="2">
                  <c:v>6</c:v>
                </c:pt>
                <c:pt idx="3">
                  <c:v>8</c:v>
                </c:pt>
                <c:pt idx="4">
                  <c:v>6</c:v>
                </c:pt>
                <c:pt idx="5">
                  <c:v>9</c:v>
                </c:pt>
                <c:pt idx="6">
                  <c:v>10</c:v>
                </c:pt>
              </c:numCache>
            </c:numRef>
          </c:val>
          <c:extLst>
            <c:ext xmlns:c16="http://schemas.microsoft.com/office/drawing/2014/chart" uri="{C3380CC4-5D6E-409C-BE32-E72D297353CC}">
              <c16:uniqueId val="{00000002-CBCE-4FC6-A9D0-50532B1E14DC}"/>
            </c:ext>
          </c:extLst>
        </c:ser>
        <c:dLbls>
          <c:showLegendKey val="0"/>
          <c:showVal val="0"/>
          <c:showCatName val="0"/>
          <c:showSerName val="0"/>
          <c:showPercent val="0"/>
          <c:showBubbleSize val="0"/>
        </c:dLbls>
        <c:gapWidth val="219"/>
        <c:overlap val="-27"/>
        <c:axId val="576138976"/>
        <c:axId val="576144224"/>
      </c:barChart>
      <c:catAx>
        <c:axId val="576138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76144224"/>
        <c:crosses val="autoZero"/>
        <c:auto val="1"/>
        <c:lblAlgn val="ctr"/>
        <c:lblOffset val="100"/>
        <c:noMultiLvlLbl val="0"/>
      </c:catAx>
      <c:valAx>
        <c:axId val="5761442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76138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AD2290-E13C-462D-8562-63E02A3091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18120</Words>
  <Characters>99660</Characters>
  <Application>Microsoft Office Word</Application>
  <DocSecurity>0</DocSecurity>
  <Lines>830</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Aram Isai Ramos</dc:creator>
  <cp:lastModifiedBy>Marcela Villafuerte</cp:lastModifiedBy>
  <cp:revision>3</cp:revision>
  <dcterms:created xsi:type="dcterms:W3CDTF">2019-08-14T18:35:00Z</dcterms:created>
  <dcterms:modified xsi:type="dcterms:W3CDTF">2019-08-14T18:35:00Z</dcterms:modified>
</cp:coreProperties>
</file>